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2AE0" w14:textId="218B80EF" w:rsidR="0027138B" w:rsidRPr="0027138B" w:rsidRDefault="0027138B" w:rsidP="0027138B">
      <w:pPr>
        <w:rPr>
          <w:rFonts w:ascii="Arial" w:hAnsi="Arial" w:cs="Arial"/>
          <w:b/>
          <w:bCs/>
        </w:rPr>
      </w:pPr>
      <w:r w:rsidRPr="0027138B">
        <w:rPr>
          <w:rFonts w:ascii="Arial" w:hAnsi="Arial" w:cs="Arial"/>
          <w:b/>
          <w:bCs/>
        </w:rPr>
        <w:t xml:space="preserve">Golf Club – Board Responsibilities </w:t>
      </w:r>
      <w:r w:rsidR="004F1E99">
        <w:rPr>
          <w:rFonts w:ascii="Arial" w:hAnsi="Arial" w:cs="Arial"/>
          <w:b/>
          <w:bCs/>
        </w:rPr>
        <w:t>U</w:t>
      </w:r>
      <w:r w:rsidRPr="0027138B">
        <w:rPr>
          <w:rFonts w:ascii="Arial" w:hAnsi="Arial" w:cs="Arial"/>
          <w:b/>
          <w:bCs/>
        </w:rPr>
        <w:t>nder the Harmonised WHS Acts</w:t>
      </w:r>
    </w:p>
    <w:p w14:paraId="1904BF0D" w14:textId="77777777" w:rsidR="0027138B" w:rsidRPr="0027138B" w:rsidRDefault="0027138B" w:rsidP="0027138B">
      <w:pPr>
        <w:rPr>
          <w:rFonts w:cs="Arial"/>
          <w:sz w:val="22"/>
          <w:szCs w:val="22"/>
        </w:rPr>
      </w:pPr>
      <w:r w:rsidRPr="0027138B">
        <w:rPr>
          <w:rFonts w:cs="Arial"/>
          <w:sz w:val="22"/>
          <w:szCs w:val="22"/>
        </w:rPr>
        <w:t>Under the harmonised Work Health and Safety (WHS) Acts adopted by most Australian states and territories, the management board of a golf club—like any other organisation—has a legal duty to ensure the health and safety of workers (including employees, volunteers, and contractors) as well as other persons such as patrons and visitors. These responsibilities are comprehensive and extend to all aspects of the club’s operations.</w:t>
      </w:r>
    </w:p>
    <w:p w14:paraId="662209DF" w14:textId="77777777" w:rsidR="0027138B" w:rsidRPr="0027138B" w:rsidRDefault="0027138B" w:rsidP="0027138B">
      <w:pPr>
        <w:rPr>
          <w:rFonts w:cs="Arial"/>
          <w:b/>
          <w:bCs/>
          <w:sz w:val="22"/>
          <w:szCs w:val="22"/>
        </w:rPr>
      </w:pPr>
      <w:r w:rsidRPr="0027138B">
        <w:rPr>
          <w:rFonts w:cs="Arial"/>
          <w:b/>
          <w:bCs/>
          <w:sz w:val="22"/>
          <w:szCs w:val="22"/>
        </w:rPr>
        <w:t>1. Primary Duty of Care (Section 19)</w:t>
      </w:r>
    </w:p>
    <w:p w14:paraId="42E19A09" w14:textId="77777777" w:rsidR="0027138B" w:rsidRPr="0027138B" w:rsidRDefault="0027138B" w:rsidP="0027138B">
      <w:pPr>
        <w:rPr>
          <w:rFonts w:cs="Arial"/>
          <w:sz w:val="22"/>
          <w:szCs w:val="22"/>
        </w:rPr>
      </w:pPr>
      <w:r w:rsidRPr="0027138B">
        <w:rPr>
          <w:rFonts w:cs="Arial"/>
          <w:sz w:val="22"/>
          <w:szCs w:val="22"/>
        </w:rPr>
        <w:t>A golf club, as a Person Conducting a Business or Undertaking (PCBU), has a primary duty to ensure, so far as is reasonably practicable, the health and safety of:</w:t>
      </w:r>
    </w:p>
    <w:p w14:paraId="63DF25EE" w14:textId="77777777" w:rsidR="0027138B" w:rsidRPr="0027138B" w:rsidRDefault="0027138B" w:rsidP="0027138B">
      <w:pPr>
        <w:numPr>
          <w:ilvl w:val="0"/>
          <w:numId w:val="27"/>
        </w:numPr>
        <w:rPr>
          <w:rFonts w:cs="Arial"/>
          <w:sz w:val="22"/>
          <w:szCs w:val="22"/>
        </w:rPr>
      </w:pPr>
      <w:r w:rsidRPr="0027138B">
        <w:rPr>
          <w:rFonts w:cs="Arial"/>
          <w:sz w:val="22"/>
          <w:szCs w:val="22"/>
        </w:rPr>
        <w:t>workers engaged or caused to be engaged by the club</w:t>
      </w:r>
    </w:p>
    <w:p w14:paraId="02BF136D" w14:textId="77777777" w:rsidR="0027138B" w:rsidRPr="0027138B" w:rsidRDefault="0027138B" w:rsidP="0027138B">
      <w:pPr>
        <w:numPr>
          <w:ilvl w:val="0"/>
          <w:numId w:val="27"/>
        </w:numPr>
        <w:rPr>
          <w:rFonts w:cs="Arial"/>
          <w:sz w:val="22"/>
          <w:szCs w:val="22"/>
        </w:rPr>
      </w:pPr>
      <w:r w:rsidRPr="0027138B">
        <w:rPr>
          <w:rFonts w:cs="Arial"/>
          <w:sz w:val="22"/>
          <w:szCs w:val="22"/>
        </w:rPr>
        <w:t>workers whose activities in carrying out work are influenced or directed by the club</w:t>
      </w:r>
    </w:p>
    <w:p w14:paraId="7758E8A7" w14:textId="77777777" w:rsidR="0027138B" w:rsidRPr="0027138B" w:rsidRDefault="0027138B" w:rsidP="0027138B">
      <w:pPr>
        <w:numPr>
          <w:ilvl w:val="0"/>
          <w:numId w:val="27"/>
        </w:numPr>
        <w:rPr>
          <w:rFonts w:cs="Arial"/>
          <w:sz w:val="22"/>
          <w:szCs w:val="22"/>
        </w:rPr>
      </w:pPr>
      <w:r w:rsidRPr="0027138B">
        <w:rPr>
          <w:rFonts w:cs="Arial"/>
          <w:sz w:val="22"/>
          <w:szCs w:val="22"/>
        </w:rPr>
        <w:t>other persons (e.g., players, visitors) while on the premises</w:t>
      </w:r>
    </w:p>
    <w:p w14:paraId="28E24762" w14:textId="77777777" w:rsidR="0027138B" w:rsidRPr="0027138B" w:rsidRDefault="0027138B" w:rsidP="0027138B">
      <w:pPr>
        <w:rPr>
          <w:rFonts w:cs="Arial"/>
          <w:sz w:val="22"/>
          <w:szCs w:val="22"/>
        </w:rPr>
      </w:pPr>
      <w:r w:rsidRPr="0027138B">
        <w:rPr>
          <w:rFonts w:cs="Arial"/>
          <w:sz w:val="22"/>
          <w:szCs w:val="22"/>
        </w:rPr>
        <w:t>Key duties include:</w:t>
      </w:r>
    </w:p>
    <w:p w14:paraId="0BD9369F" w14:textId="77777777" w:rsidR="0027138B" w:rsidRPr="0027138B" w:rsidRDefault="0027138B" w:rsidP="0027138B">
      <w:pPr>
        <w:numPr>
          <w:ilvl w:val="0"/>
          <w:numId w:val="28"/>
        </w:numPr>
        <w:rPr>
          <w:rFonts w:cs="Arial"/>
          <w:sz w:val="22"/>
          <w:szCs w:val="22"/>
        </w:rPr>
      </w:pPr>
      <w:r w:rsidRPr="0027138B">
        <w:rPr>
          <w:rFonts w:cs="Arial"/>
          <w:sz w:val="22"/>
          <w:szCs w:val="22"/>
        </w:rPr>
        <w:t>Safe Systems of Work: Ensuring that all work (e.g., groundskeeping, hospitality) is carried out safely and without risk to health.</w:t>
      </w:r>
    </w:p>
    <w:p w14:paraId="27113832" w14:textId="77777777" w:rsidR="0027138B" w:rsidRPr="0027138B" w:rsidRDefault="0027138B" w:rsidP="0027138B">
      <w:pPr>
        <w:numPr>
          <w:ilvl w:val="0"/>
          <w:numId w:val="28"/>
        </w:numPr>
        <w:rPr>
          <w:rFonts w:cs="Arial"/>
          <w:sz w:val="22"/>
          <w:szCs w:val="22"/>
        </w:rPr>
      </w:pPr>
      <w:r w:rsidRPr="0027138B">
        <w:rPr>
          <w:rFonts w:cs="Arial"/>
          <w:sz w:val="22"/>
          <w:szCs w:val="22"/>
        </w:rPr>
        <w:t>Safe Plant and Structures: Equipment such as mowers, golf carts, and kitchen appliances must be maintained and safe.</w:t>
      </w:r>
    </w:p>
    <w:p w14:paraId="5AA5A61C" w14:textId="77777777" w:rsidR="0027138B" w:rsidRPr="0027138B" w:rsidRDefault="0027138B" w:rsidP="0027138B">
      <w:pPr>
        <w:numPr>
          <w:ilvl w:val="0"/>
          <w:numId w:val="28"/>
        </w:numPr>
        <w:rPr>
          <w:rFonts w:cs="Arial"/>
          <w:sz w:val="22"/>
          <w:szCs w:val="22"/>
        </w:rPr>
      </w:pPr>
      <w:r w:rsidRPr="0027138B">
        <w:rPr>
          <w:rFonts w:cs="Arial"/>
          <w:sz w:val="22"/>
          <w:szCs w:val="22"/>
        </w:rPr>
        <w:t>Provision of PPE: Personal protective equipment must be provided and maintained where necessary (e.g., gloves, safety glasses, ear protection).</w:t>
      </w:r>
    </w:p>
    <w:p w14:paraId="1FE2791C" w14:textId="77777777" w:rsidR="0027138B" w:rsidRPr="0027138B" w:rsidRDefault="0027138B" w:rsidP="0027138B">
      <w:pPr>
        <w:rPr>
          <w:rFonts w:cs="Arial"/>
          <w:b/>
          <w:bCs/>
          <w:sz w:val="22"/>
          <w:szCs w:val="22"/>
        </w:rPr>
      </w:pPr>
      <w:r w:rsidRPr="0027138B">
        <w:rPr>
          <w:rFonts w:cs="Arial"/>
          <w:b/>
          <w:bCs/>
          <w:sz w:val="22"/>
          <w:szCs w:val="22"/>
        </w:rPr>
        <w:t>2. Consultation with Workers (Sections 47–49)</w:t>
      </w:r>
    </w:p>
    <w:p w14:paraId="4E4CE117" w14:textId="77777777" w:rsidR="0027138B" w:rsidRPr="0027138B" w:rsidRDefault="0027138B" w:rsidP="0027138B">
      <w:pPr>
        <w:rPr>
          <w:rFonts w:cs="Arial"/>
          <w:sz w:val="22"/>
          <w:szCs w:val="22"/>
        </w:rPr>
      </w:pPr>
      <w:r w:rsidRPr="0027138B">
        <w:rPr>
          <w:rFonts w:cs="Arial"/>
          <w:sz w:val="22"/>
          <w:szCs w:val="22"/>
        </w:rPr>
        <w:t>Boards must ensure that there are appropriate mechanisms for consulting workers on WHS matters.</w:t>
      </w:r>
    </w:p>
    <w:p w14:paraId="766418DA" w14:textId="77777777" w:rsidR="0027138B" w:rsidRPr="0027138B" w:rsidRDefault="0027138B" w:rsidP="0027138B">
      <w:pPr>
        <w:numPr>
          <w:ilvl w:val="0"/>
          <w:numId w:val="29"/>
        </w:numPr>
        <w:rPr>
          <w:rFonts w:cs="Arial"/>
          <w:sz w:val="22"/>
          <w:szCs w:val="22"/>
        </w:rPr>
      </w:pPr>
      <w:r w:rsidRPr="0027138B">
        <w:rPr>
          <w:rFonts w:cs="Arial"/>
          <w:sz w:val="22"/>
          <w:szCs w:val="22"/>
        </w:rPr>
        <w:t>Identifying Hazards and Risks: Workers should be involved in identifying risks and implementing control measures.</w:t>
      </w:r>
    </w:p>
    <w:p w14:paraId="791A59CE" w14:textId="77777777" w:rsidR="0027138B" w:rsidRPr="0027138B" w:rsidRDefault="0027138B" w:rsidP="0027138B">
      <w:pPr>
        <w:numPr>
          <w:ilvl w:val="0"/>
          <w:numId w:val="29"/>
        </w:numPr>
        <w:rPr>
          <w:rFonts w:cs="Arial"/>
          <w:sz w:val="22"/>
          <w:szCs w:val="22"/>
        </w:rPr>
      </w:pPr>
      <w:r w:rsidRPr="0027138B">
        <w:rPr>
          <w:rFonts w:cs="Arial"/>
          <w:sz w:val="22"/>
          <w:szCs w:val="22"/>
        </w:rPr>
        <w:t>Changes to Work: Any change that may affect health and safety (e.g., new chemicals, changes to the course) must be discussed with affected workers.</w:t>
      </w:r>
    </w:p>
    <w:p w14:paraId="02F4225C" w14:textId="77777777" w:rsidR="0027138B" w:rsidRPr="0027138B" w:rsidRDefault="0027138B" w:rsidP="0027138B">
      <w:pPr>
        <w:rPr>
          <w:rFonts w:cs="Arial"/>
          <w:b/>
          <w:bCs/>
          <w:sz w:val="22"/>
          <w:szCs w:val="22"/>
        </w:rPr>
      </w:pPr>
      <w:r w:rsidRPr="0027138B">
        <w:rPr>
          <w:rFonts w:cs="Arial"/>
          <w:b/>
          <w:bCs/>
          <w:sz w:val="22"/>
          <w:szCs w:val="22"/>
        </w:rPr>
        <w:t>3. Workplace Safety (General Duties)</w:t>
      </w:r>
    </w:p>
    <w:p w14:paraId="6AD6D3E6" w14:textId="77777777" w:rsidR="0027138B" w:rsidRPr="0027138B" w:rsidRDefault="0027138B" w:rsidP="0027138B">
      <w:pPr>
        <w:rPr>
          <w:rFonts w:cs="Arial"/>
          <w:sz w:val="22"/>
          <w:szCs w:val="22"/>
        </w:rPr>
      </w:pPr>
      <w:r w:rsidRPr="0027138B">
        <w:rPr>
          <w:rFonts w:cs="Arial"/>
          <w:sz w:val="22"/>
          <w:szCs w:val="22"/>
        </w:rPr>
        <w:t>The WHS Act places clear obligations on PCBUs to provide and maintain:</w:t>
      </w:r>
    </w:p>
    <w:p w14:paraId="4E8C0C67" w14:textId="77777777" w:rsidR="0027138B" w:rsidRPr="0027138B" w:rsidRDefault="0027138B" w:rsidP="0027138B">
      <w:pPr>
        <w:numPr>
          <w:ilvl w:val="0"/>
          <w:numId w:val="30"/>
        </w:numPr>
        <w:rPr>
          <w:rFonts w:cs="Arial"/>
          <w:sz w:val="22"/>
          <w:szCs w:val="22"/>
        </w:rPr>
      </w:pPr>
      <w:r w:rsidRPr="0027138B">
        <w:rPr>
          <w:rFonts w:cs="Arial"/>
          <w:sz w:val="22"/>
          <w:szCs w:val="22"/>
        </w:rPr>
        <w:t>Safe Working Environment: The golf course, clubhouse, pro shop, and other facilities must be free of hazards.</w:t>
      </w:r>
    </w:p>
    <w:p w14:paraId="6DC4A0E9" w14:textId="77777777" w:rsidR="0027138B" w:rsidRDefault="0027138B" w:rsidP="0027138B">
      <w:pPr>
        <w:numPr>
          <w:ilvl w:val="0"/>
          <w:numId w:val="30"/>
        </w:numPr>
        <w:rPr>
          <w:rFonts w:cs="Arial"/>
          <w:sz w:val="22"/>
          <w:szCs w:val="22"/>
        </w:rPr>
      </w:pPr>
      <w:r w:rsidRPr="0027138B">
        <w:rPr>
          <w:rFonts w:cs="Arial"/>
          <w:sz w:val="22"/>
          <w:szCs w:val="22"/>
        </w:rPr>
        <w:t>Emergency Preparedness: Emergency plans must be in place (e.g., for fire, storms, injuries) and all staff should be trained in response procedures.</w:t>
      </w:r>
    </w:p>
    <w:p w14:paraId="5E253629" w14:textId="77777777" w:rsidR="0027138B" w:rsidRDefault="0027138B" w:rsidP="0027138B">
      <w:pPr>
        <w:rPr>
          <w:rFonts w:cs="Arial"/>
          <w:sz w:val="22"/>
          <w:szCs w:val="22"/>
        </w:rPr>
      </w:pPr>
    </w:p>
    <w:p w14:paraId="70546FEA" w14:textId="77777777" w:rsidR="0027138B" w:rsidRDefault="0027138B" w:rsidP="0027138B">
      <w:pPr>
        <w:rPr>
          <w:rFonts w:cs="Arial"/>
          <w:sz w:val="22"/>
          <w:szCs w:val="22"/>
        </w:rPr>
      </w:pPr>
    </w:p>
    <w:p w14:paraId="76E7C204" w14:textId="77777777" w:rsidR="0027138B" w:rsidRDefault="0027138B" w:rsidP="0027138B">
      <w:pPr>
        <w:rPr>
          <w:rFonts w:cs="Arial"/>
          <w:sz w:val="22"/>
          <w:szCs w:val="22"/>
        </w:rPr>
      </w:pPr>
    </w:p>
    <w:p w14:paraId="28376331" w14:textId="77777777" w:rsidR="0027138B" w:rsidRDefault="0027138B" w:rsidP="0027138B">
      <w:pPr>
        <w:rPr>
          <w:rFonts w:cs="Arial"/>
          <w:sz w:val="22"/>
          <w:szCs w:val="22"/>
        </w:rPr>
      </w:pPr>
    </w:p>
    <w:p w14:paraId="45748BD4" w14:textId="77777777" w:rsidR="0027138B" w:rsidRPr="0027138B" w:rsidRDefault="0027138B" w:rsidP="0027138B">
      <w:pPr>
        <w:rPr>
          <w:rFonts w:cs="Arial"/>
          <w:sz w:val="22"/>
          <w:szCs w:val="22"/>
        </w:rPr>
      </w:pPr>
    </w:p>
    <w:p w14:paraId="2B5DEE27" w14:textId="77777777" w:rsidR="0027138B" w:rsidRPr="0027138B" w:rsidRDefault="0027138B" w:rsidP="0027138B">
      <w:pPr>
        <w:rPr>
          <w:rFonts w:cs="Arial"/>
          <w:b/>
          <w:bCs/>
          <w:sz w:val="22"/>
          <w:szCs w:val="22"/>
        </w:rPr>
      </w:pPr>
      <w:r w:rsidRPr="0027138B">
        <w:rPr>
          <w:rFonts w:cs="Arial"/>
          <w:b/>
          <w:bCs/>
          <w:sz w:val="22"/>
          <w:szCs w:val="22"/>
        </w:rPr>
        <w:lastRenderedPageBreak/>
        <w:t>4. Hazard Management (Section 17 – Risk Management)</w:t>
      </w:r>
    </w:p>
    <w:p w14:paraId="4D860A09" w14:textId="77777777" w:rsidR="0027138B" w:rsidRPr="0027138B" w:rsidRDefault="0027138B" w:rsidP="0027138B">
      <w:pPr>
        <w:rPr>
          <w:rFonts w:cs="Arial"/>
          <w:sz w:val="22"/>
          <w:szCs w:val="22"/>
        </w:rPr>
      </w:pPr>
      <w:r w:rsidRPr="0027138B">
        <w:rPr>
          <w:rFonts w:cs="Arial"/>
          <w:sz w:val="22"/>
          <w:szCs w:val="22"/>
        </w:rPr>
        <w:t>Golf clubs must implement a risk management process that includes:</w:t>
      </w:r>
    </w:p>
    <w:p w14:paraId="2A3BDA21" w14:textId="77777777" w:rsidR="0027138B" w:rsidRPr="0027138B" w:rsidRDefault="0027138B" w:rsidP="0027138B">
      <w:pPr>
        <w:numPr>
          <w:ilvl w:val="0"/>
          <w:numId w:val="31"/>
        </w:numPr>
        <w:rPr>
          <w:rFonts w:cs="Arial"/>
          <w:sz w:val="22"/>
          <w:szCs w:val="22"/>
        </w:rPr>
      </w:pPr>
      <w:r w:rsidRPr="0027138B">
        <w:rPr>
          <w:rFonts w:cs="Arial"/>
          <w:sz w:val="22"/>
          <w:szCs w:val="22"/>
        </w:rPr>
        <w:t>Identifying Hazards</w:t>
      </w:r>
    </w:p>
    <w:p w14:paraId="552BFC2E" w14:textId="77777777" w:rsidR="0027138B" w:rsidRPr="0027138B" w:rsidRDefault="0027138B" w:rsidP="0027138B">
      <w:pPr>
        <w:numPr>
          <w:ilvl w:val="0"/>
          <w:numId w:val="31"/>
        </w:numPr>
        <w:rPr>
          <w:rFonts w:cs="Arial"/>
          <w:sz w:val="22"/>
          <w:szCs w:val="22"/>
        </w:rPr>
      </w:pPr>
      <w:r w:rsidRPr="0027138B">
        <w:rPr>
          <w:rFonts w:cs="Arial"/>
          <w:sz w:val="22"/>
          <w:szCs w:val="22"/>
        </w:rPr>
        <w:t>Assessing Risks</w:t>
      </w:r>
    </w:p>
    <w:p w14:paraId="13764289" w14:textId="77777777" w:rsidR="0027138B" w:rsidRPr="0027138B" w:rsidRDefault="0027138B" w:rsidP="0027138B">
      <w:pPr>
        <w:numPr>
          <w:ilvl w:val="0"/>
          <w:numId w:val="31"/>
        </w:numPr>
        <w:rPr>
          <w:rFonts w:cs="Arial"/>
          <w:sz w:val="22"/>
          <w:szCs w:val="22"/>
        </w:rPr>
      </w:pPr>
      <w:r w:rsidRPr="0027138B">
        <w:rPr>
          <w:rFonts w:cs="Arial"/>
          <w:sz w:val="22"/>
          <w:szCs w:val="22"/>
        </w:rPr>
        <w:t>Implementing Controls</w:t>
      </w:r>
    </w:p>
    <w:p w14:paraId="3AE342BC" w14:textId="77777777" w:rsidR="0027138B" w:rsidRPr="0027138B" w:rsidRDefault="0027138B" w:rsidP="0027138B">
      <w:pPr>
        <w:numPr>
          <w:ilvl w:val="0"/>
          <w:numId w:val="31"/>
        </w:numPr>
        <w:rPr>
          <w:rFonts w:cs="Arial"/>
          <w:sz w:val="22"/>
          <w:szCs w:val="22"/>
        </w:rPr>
      </w:pPr>
      <w:r w:rsidRPr="0027138B">
        <w:rPr>
          <w:rFonts w:cs="Arial"/>
          <w:sz w:val="22"/>
          <w:szCs w:val="22"/>
        </w:rPr>
        <w:t>Reviewing Control Measures</w:t>
      </w:r>
    </w:p>
    <w:p w14:paraId="3B83EC48" w14:textId="77777777" w:rsidR="0027138B" w:rsidRPr="0027138B" w:rsidRDefault="0027138B" w:rsidP="0027138B">
      <w:pPr>
        <w:rPr>
          <w:rFonts w:cs="Arial"/>
          <w:sz w:val="22"/>
          <w:szCs w:val="22"/>
        </w:rPr>
      </w:pPr>
      <w:r w:rsidRPr="0027138B">
        <w:rPr>
          <w:rFonts w:cs="Arial"/>
          <w:sz w:val="22"/>
          <w:szCs w:val="22"/>
        </w:rPr>
        <w:t>This applies to all areas, from equipment use to environmental hazards like snakes or heat exposure.</w:t>
      </w:r>
    </w:p>
    <w:p w14:paraId="4F0C52A8" w14:textId="77777777" w:rsidR="0027138B" w:rsidRPr="0027138B" w:rsidRDefault="0027138B" w:rsidP="0027138B">
      <w:pPr>
        <w:rPr>
          <w:rFonts w:cs="Arial"/>
          <w:b/>
          <w:bCs/>
          <w:sz w:val="22"/>
          <w:szCs w:val="22"/>
        </w:rPr>
      </w:pPr>
      <w:r w:rsidRPr="0027138B">
        <w:rPr>
          <w:rFonts w:cs="Arial"/>
          <w:b/>
          <w:bCs/>
          <w:sz w:val="22"/>
          <w:szCs w:val="22"/>
        </w:rPr>
        <w:t>5. Training, Information, and Supervision (Section 19(3)(f)-(h))</w:t>
      </w:r>
    </w:p>
    <w:p w14:paraId="26CBE255" w14:textId="77777777" w:rsidR="0027138B" w:rsidRPr="0027138B" w:rsidRDefault="0027138B" w:rsidP="0027138B">
      <w:pPr>
        <w:rPr>
          <w:rFonts w:cs="Arial"/>
          <w:sz w:val="22"/>
          <w:szCs w:val="22"/>
        </w:rPr>
      </w:pPr>
      <w:r w:rsidRPr="0027138B">
        <w:rPr>
          <w:rFonts w:cs="Arial"/>
          <w:sz w:val="22"/>
          <w:szCs w:val="22"/>
        </w:rPr>
        <w:t>The board must ensure that:</w:t>
      </w:r>
    </w:p>
    <w:p w14:paraId="76B68E8C" w14:textId="77777777" w:rsidR="0027138B" w:rsidRPr="0027138B" w:rsidRDefault="0027138B" w:rsidP="0027138B">
      <w:pPr>
        <w:numPr>
          <w:ilvl w:val="0"/>
          <w:numId w:val="32"/>
        </w:numPr>
        <w:rPr>
          <w:rFonts w:cs="Arial"/>
          <w:sz w:val="22"/>
          <w:szCs w:val="22"/>
        </w:rPr>
      </w:pPr>
      <w:r w:rsidRPr="0027138B">
        <w:rPr>
          <w:rFonts w:cs="Arial"/>
          <w:sz w:val="22"/>
          <w:szCs w:val="22"/>
        </w:rPr>
        <w:t>Workers are Competent: Training must be provided in safe work procedures and the use of tools, machinery, and vehicles.</w:t>
      </w:r>
    </w:p>
    <w:p w14:paraId="54878F7D" w14:textId="77777777" w:rsidR="0027138B" w:rsidRPr="0027138B" w:rsidRDefault="0027138B" w:rsidP="0027138B">
      <w:pPr>
        <w:numPr>
          <w:ilvl w:val="0"/>
          <w:numId w:val="32"/>
        </w:numPr>
        <w:rPr>
          <w:rFonts w:cs="Arial"/>
          <w:sz w:val="22"/>
          <w:szCs w:val="22"/>
        </w:rPr>
      </w:pPr>
      <w:r w:rsidRPr="0027138B">
        <w:rPr>
          <w:rFonts w:cs="Arial"/>
          <w:sz w:val="22"/>
          <w:szCs w:val="22"/>
        </w:rPr>
        <w:t>Safety Inductions: New workers, including volunteers and contractors, should be inducted into site-specific safety practices and emergency procedures.</w:t>
      </w:r>
    </w:p>
    <w:p w14:paraId="6F988759" w14:textId="77777777" w:rsidR="0027138B" w:rsidRPr="0027138B" w:rsidRDefault="0027138B" w:rsidP="0027138B">
      <w:pPr>
        <w:rPr>
          <w:rFonts w:cs="Arial"/>
          <w:b/>
          <w:bCs/>
          <w:sz w:val="22"/>
          <w:szCs w:val="22"/>
        </w:rPr>
      </w:pPr>
      <w:r w:rsidRPr="0027138B">
        <w:rPr>
          <w:rFonts w:cs="Arial"/>
          <w:b/>
          <w:bCs/>
          <w:sz w:val="22"/>
          <w:szCs w:val="22"/>
        </w:rPr>
        <w:t>6. Incident Notification and Management (Sections 35–39)</w:t>
      </w:r>
    </w:p>
    <w:p w14:paraId="498D5279" w14:textId="77777777" w:rsidR="0027138B" w:rsidRPr="0027138B" w:rsidRDefault="0027138B" w:rsidP="0027138B">
      <w:pPr>
        <w:rPr>
          <w:rFonts w:cs="Arial"/>
          <w:sz w:val="22"/>
          <w:szCs w:val="22"/>
        </w:rPr>
      </w:pPr>
      <w:r w:rsidRPr="0027138B">
        <w:rPr>
          <w:rFonts w:cs="Arial"/>
          <w:sz w:val="22"/>
          <w:szCs w:val="22"/>
        </w:rPr>
        <w:t>The WHS Acts require PCBUs to:</w:t>
      </w:r>
    </w:p>
    <w:p w14:paraId="4DA1D096" w14:textId="77777777" w:rsidR="0027138B" w:rsidRPr="0027138B" w:rsidRDefault="0027138B" w:rsidP="0027138B">
      <w:pPr>
        <w:numPr>
          <w:ilvl w:val="0"/>
          <w:numId w:val="33"/>
        </w:numPr>
        <w:rPr>
          <w:rFonts w:cs="Arial"/>
          <w:sz w:val="22"/>
          <w:szCs w:val="22"/>
        </w:rPr>
      </w:pPr>
      <w:r w:rsidRPr="0027138B">
        <w:rPr>
          <w:rFonts w:cs="Arial"/>
          <w:sz w:val="22"/>
          <w:szCs w:val="22"/>
        </w:rPr>
        <w:t>Notify the Regulator: Certain serious incidents (e.g., death, serious injury, dangerous occurrences) must be notified to the relevant WHS regulator immediately.</w:t>
      </w:r>
    </w:p>
    <w:p w14:paraId="53CBE228" w14:textId="77777777" w:rsidR="0027138B" w:rsidRPr="0027138B" w:rsidRDefault="0027138B" w:rsidP="0027138B">
      <w:pPr>
        <w:numPr>
          <w:ilvl w:val="0"/>
          <w:numId w:val="33"/>
        </w:numPr>
        <w:rPr>
          <w:rFonts w:cs="Arial"/>
          <w:sz w:val="22"/>
          <w:szCs w:val="22"/>
        </w:rPr>
      </w:pPr>
      <w:r w:rsidRPr="0027138B">
        <w:rPr>
          <w:rFonts w:cs="Arial"/>
          <w:sz w:val="22"/>
          <w:szCs w:val="22"/>
        </w:rPr>
        <w:t>Preserve the Site: The site of a notifiable incident must not be disturbed until cleared by the regulator (unless necessary to assist an injured person).</w:t>
      </w:r>
    </w:p>
    <w:p w14:paraId="4FB0064D" w14:textId="77777777" w:rsidR="0027138B" w:rsidRPr="0027138B" w:rsidRDefault="0027138B" w:rsidP="0027138B">
      <w:pPr>
        <w:numPr>
          <w:ilvl w:val="0"/>
          <w:numId w:val="33"/>
        </w:numPr>
        <w:rPr>
          <w:rFonts w:cs="Arial"/>
          <w:sz w:val="22"/>
          <w:szCs w:val="22"/>
        </w:rPr>
      </w:pPr>
      <w:r w:rsidRPr="0027138B">
        <w:rPr>
          <w:rFonts w:cs="Arial"/>
          <w:sz w:val="22"/>
          <w:szCs w:val="22"/>
        </w:rPr>
        <w:t>Investigate Internally: All incidents should be investigated, and corrective actions taken.</w:t>
      </w:r>
    </w:p>
    <w:p w14:paraId="2EEE95C9" w14:textId="77777777" w:rsidR="0027138B" w:rsidRPr="0027138B" w:rsidRDefault="0027138B" w:rsidP="0027138B">
      <w:pPr>
        <w:rPr>
          <w:rFonts w:cs="Arial"/>
          <w:b/>
          <w:bCs/>
          <w:sz w:val="22"/>
          <w:szCs w:val="22"/>
        </w:rPr>
      </w:pPr>
      <w:r w:rsidRPr="0027138B">
        <w:rPr>
          <w:rFonts w:cs="Arial"/>
          <w:b/>
          <w:bCs/>
          <w:sz w:val="22"/>
          <w:szCs w:val="22"/>
        </w:rPr>
        <w:t>7. Responsibilities Towards Volunteers and Other Persons (Section 19(2))</w:t>
      </w:r>
    </w:p>
    <w:p w14:paraId="11F50362" w14:textId="77777777" w:rsidR="0027138B" w:rsidRPr="0027138B" w:rsidRDefault="0027138B" w:rsidP="0027138B">
      <w:pPr>
        <w:rPr>
          <w:rFonts w:cs="Arial"/>
          <w:sz w:val="22"/>
          <w:szCs w:val="22"/>
        </w:rPr>
      </w:pPr>
      <w:r w:rsidRPr="0027138B">
        <w:rPr>
          <w:rFonts w:cs="Arial"/>
          <w:sz w:val="22"/>
          <w:szCs w:val="22"/>
        </w:rPr>
        <w:t>The club’s duty of care extends beyond paid employees:</w:t>
      </w:r>
    </w:p>
    <w:p w14:paraId="7F8F8563" w14:textId="23251684" w:rsidR="0027138B" w:rsidRPr="0027138B" w:rsidRDefault="0027138B" w:rsidP="0027138B">
      <w:pPr>
        <w:numPr>
          <w:ilvl w:val="0"/>
          <w:numId w:val="34"/>
        </w:numPr>
        <w:rPr>
          <w:rFonts w:cs="Arial"/>
          <w:sz w:val="22"/>
          <w:szCs w:val="22"/>
        </w:rPr>
      </w:pPr>
      <w:r w:rsidRPr="0027138B">
        <w:rPr>
          <w:rFonts w:cs="Arial"/>
          <w:sz w:val="22"/>
          <w:szCs w:val="22"/>
        </w:rPr>
        <w:t>Volunteers and Contractors Must be given the same level of protection and training as employees.</w:t>
      </w:r>
    </w:p>
    <w:p w14:paraId="3FFD2F69" w14:textId="77777777" w:rsidR="0027138B" w:rsidRPr="0027138B" w:rsidRDefault="0027138B" w:rsidP="0027138B">
      <w:pPr>
        <w:numPr>
          <w:ilvl w:val="0"/>
          <w:numId w:val="34"/>
        </w:numPr>
        <w:rPr>
          <w:rFonts w:cs="Arial"/>
          <w:sz w:val="22"/>
          <w:szCs w:val="22"/>
        </w:rPr>
      </w:pPr>
      <w:r w:rsidRPr="0027138B">
        <w:rPr>
          <w:rFonts w:cs="Arial"/>
          <w:sz w:val="22"/>
          <w:szCs w:val="22"/>
        </w:rPr>
        <w:t>Public Safety: The board must ensure that golfers, visitors, and members are not exposed to health and safety risks (e.g., clear signage, safe paths).</w:t>
      </w:r>
    </w:p>
    <w:p w14:paraId="6F10A024" w14:textId="77777777" w:rsidR="0027138B" w:rsidRPr="0027138B" w:rsidRDefault="0027138B" w:rsidP="0027138B">
      <w:pPr>
        <w:rPr>
          <w:rFonts w:cs="Arial"/>
          <w:b/>
          <w:bCs/>
          <w:sz w:val="22"/>
          <w:szCs w:val="22"/>
        </w:rPr>
      </w:pPr>
      <w:r w:rsidRPr="0027138B">
        <w:rPr>
          <w:rFonts w:cs="Arial"/>
          <w:b/>
          <w:bCs/>
          <w:sz w:val="22"/>
          <w:szCs w:val="22"/>
        </w:rPr>
        <w:t>8. Officer Duties and Due Diligence (Section 27)</w:t>
      </w:r>
    </w:p>
    <w:p w14:paraId="6BDC6C7A" w14:textId="77777777" w:rsidR="0027138B" w:rsidRPr="0027138B" w:rsidRDefault="0027138B" w:rsidP="0027138B">
      <w:pPr>
        <w:rPr>
          <w:rFonts w:cs="Arial"/>
          <w:sz w:val="22"/>
          <w:szCs w:val="22"/>
        </w:rPr>
      </w:pPr>
      <w:r w:rsidRPr="0027138B">
        <w:rPr>
          <w:rFonts w:cs="Arial"/>
          <w:sz w:val="22"/>
          <w:szCs w:val="22"/>
        </w:rPr>
        <w:t>Board members and executives are considered Officers under the WHS Act and must exercise due diligence to ensure the club complies with its health and safety duties. This includes:</w:t>
      </w:r>
    </w:p>
    <w:p w14:paraId="023A77A4" w14:textId="77777777" w:rsidR="0027138B" w:rsidRPr="0027138B" w:rsidRDefault="0027138B" w:rsidP="0027138B">
      <w:pPr>
        <w:numPr>
          <w:ilvl w:val="0"/>
          <w:numId w:val="35"/>
        </w:numPr>
        <w:rPr>
          <w:rFonts w:cs="Arial"/>
          <w:sz w:val="22"/>
          <w:szCs w:val="22"/>
        </w:rPr>
      </w:pPr>
      <w:r w:rsidRPr="0027138B">
        <w:rPr>
          <w:rFonts w:cs="Arial"/>
          <w:sz w:val="22"/>
          <w:szCs w:val="22"/>
        </w:rPr>
        <w:t>Keeping up to date with WHS matters</w:t>
      </w:r>
    </w:p>
    <w:p w14:paraId="180C70AC" w14:textId="77777777" w:rsidR="0027138B" w:rsidRPr="0027138B" w:rsidRDefault="0027138B" w:rsidP="0027138B">
      <w:pPr>
        <w:numPr>
          <w:ilvl w:val="0"/>
          <w:numId w:val="35"/>
        </w:numPr>
        <w:rPr>
          <w:rFonts w:cs="Arial"/>
          <w:sz w:val="22"/>
          <w:szCs w:val="22"/>
        </w:rPr>
      </w:pPr>
      <w:r w:rsidRPr="0027138B">
        <w:rPr>
          <w:rFonts w:cs="Arial"/>
          <w:sz w:val="22"/>
          <w:szCs w:val="22"/>
        </w:rPr>
        <w:t>Understanding the operations and associated hazards</w:t>
      </w:r>
    </w:p>
    <w:p w14:paraId="304B42C4" w14:textId="77777777" w:rsidR="0027138B" w:rsidRDefault="0027138B" w:rsidP="0027138B">
      <w:pPr>
        <w:numPr>
          <w:ilvl w:val="0"/>
          <w:numId w:val="35"/>
        </w:numPr>
        <w:rPr>
          <w:rFonts w:cs="Arial"/>
          <w:sz w:val="22"/>
          <w:szCs w:val="22"/>
        </w:rPr>
      </w:pPr>
      <w:r w:rsidRPr="0027138B">
        <w:rPr>
          <w:rFonts w:cs="Arial"/>
          <w:sz w:val="22"/>
          <w:szCs w:val="22"/>
        </w:rPr>
        <w:t>Ensuring appropriate resources and processes are in place</w:t>
      </w:r>
    </w:p>
    <w:p w14:paraId="2B74238A" w14:textId="77777777" w:rsidR="0027138B" w:rsidRDefault="0027138B" w:rsidP="0027138B">
      <w:pPr>
        <w:rPr>
          <w:rFonts w:cs="Arial"/>
          <w:sz w:val="22"/>
          <w:szCs w:val="22"/>
        </w:rPr>
      </w:pPr>
    </w:p>
    <w:p w14:paraId="67F25954" w14:textId="77777777" w:rsidR="0027138B" w:rsidRPr="0027138B" w:rsidRDefault="0027138B" w:rsidP="0027138B">
      <w:pPr>
        <w:rPr>
          <w:rFonts w:cs="Arial"/>
          <w:sz w:val="22"/>
          <w:szCs w:val="22"/>
        </w:rPr>
      </w:pPr>
    </w:p>
    <w:p w14:paraId="524D203C" w14:textId="77777777" w:rsidR="0027138B" w:rsidRPr="0027138B" w:rsidRDefault="0027138B" w:rsidP="0027138B">
      <w:pPr>
        <w:numPr>
          <w:ilvl w:val="0"/>
          <w:numId w:val="35"/>
        </w:numPr>
        <w:rPr>
          <w:rFonts w:cs="Arial"/>
          <w:sz w:val="22"/>
          <w:szCs w:val="22"/>
        </w:rPr>
      </w:pPr>
      <w:r w:rsidRPr="0027138B">
        <w:rPr>
          <w:rFonts w:cs="Arial"/>
          <w:sz w:val="22"/>
          <w:szCs w:val="22"/>
        </w:rPr>
        <w:lastRenderedPageBreak/>
        <w:t>Verifying compliance through monitoring and reporting</w:t>
      </w:r>
    </w:p>
    <w:p w14:paraId="73DA7F20" w14:textId="77777777" w:rsidR="0027138B" w:rsidRPr="0027138B" w:rsidRDefault="0027138B" w:rsidP="0027138B">
      <w:pPr>
        <w:rPr>
          <w:rFonts w:cs="Arial"/>
          <w:sz w:val="22"/>
          <w:szCs w:val="22"/>
        </w:rPr>
      </w:pPr>
      <w:r w:rsidRPr="0027138B">
        <w:rPr>
          <w:rFonts w:cs="Arial"/>
          <w:sz w:val="22"/>
          <w:szCs w:val="22"/>
        </w:rPr>
        <w:t>Failure to meet these obligations can result in personal liability, including fines and, in severe cases, imprisonment.</w:t>
      </w:r>
    </w:p>
    <w:p w14:paraId="204BECF5" w14:textId="77777777" w:rsidR="0027138B" w:rsidRPr="0027138B" w:rsidRDefault="0027138B" w:rsidP="0027138B">
      <w:pPr>
        <w:rPr>
          <w:rFonts w:cs="Arial"/>
          <w:b/>
          <w:bCs/>
          <w:sz w:val="22"/>
          <w:szCs w:val="22"/>
        </w:rPr>
      </w:pPr>
      <w:r w:rsidRPr="0027138B">
        <w:rPr>
          <w:rFonts w:cs="Arial"/>
          <w:b/>
          <w:bCs/>
          <w:sz w:val="22"/>
          <w:szCs w:val="22"/>
        </w:rPr>
        <w:t>9. Contractor Management (Section 19 and WHS Regulations)</w:t>
      </w:r>
    </w:p>
    <w:p w14:paraId="1BCE3013" w14:textId="77777777" w:rsidR="0027138B" w:rsidRPr="0027138B" w:rsidRDefault="0027138B" w:rsidP="0027138B">
      <w:pPr>
        <w:rPr>
          <w:rFonts w:cs="Arial"/>
          <w:sz w:val="22"/>
          <w:szCs w:val="22"/>
        </w:rPr>
      </w:pPr>
      <w:r w:rsidRPr="0027138B">
        <w:rPr>
          <w:rFonts w:cs="Arial"/>
          <w:sz w:val="22"/>
          <w:szCs w:val="22"/>
        </w:rPr>
        <w:t>When engaging contractors, the board must:</w:t>
      </w:r>
    </w:p>
    <w:p w14:paraId="5016FDCD" w14:textId="77777777" w:rsidR="0027138B" w:rsidRPr="0027138B" w:rsidRDefault="0027138B" w:rsidP="0027138B">
      <w:pPr>
        <w:numPr>
          <w:ilvl w:val="0"/>
          <w:numId w:val="36"/>
        </w:numPr>
        <w:rPr>
          <w:rFonts w:cs="Arial"/>
          <w:sz w:val="22"/>
          <w:szCs w:val="22"/>
        </w:rPr>
      </w:pPr>
      <w:r w:rsidRPr="0027138B">
        <w:rPr>
          <w:rFonts w:cs="Arial"/>
          <w:sz w:val="22"/>
          <w:szCs w:val="22"/>
        </w:rPr>
        <w:t>Ensure Contractor Safety: Verify that contractors are competent, insured, and operating safely.</w:t>
      </w:r>
    </w:p>
    <w:p w14:paraId="1D138475" w14:textId="77777777" w:rsidR="0027138B" w:rsidRPr="0027138B" w:rsidRDefault="0027138B" w:rsidP="0027138B">
      <w:pPr>
        <w:numPr>
          <w:ilvl w:val="0"/>
          <w:numId w:val="36"/>
        </w:numPr>
        <w:rPr>
          <w:rFonts w:cs="Arial"/>
          <w:sz w:val="22"/>
          <w:szCs w:val="22"/>
        </w:rPr>
      </w:pPr>
      <w:r w:rsidRPr="0027138B">
        <w:rPr>
          <w:rFonts w:cs="Arial"/>
          <w:sz w:val="22"/>
          <w:szCs w:val="22"/>
        </w:rPr>
        <w:t>Coordinate Activities: Ensure communication of site-specific hazards and coordinate shared duties.</w:t>
      </w:r>
    </w:p>
    <w:p w14:paraId="10CD2DF6" w14:textId="77777777" w:rsidR="0027138B" w:rsidRPr="0027138B" w:rsidRDefault="0027138B" w:rsidP="0027138B">
      <w:pPr>
        <w:numPr>
          <w:ilvl w:val="0"/>
          <w:numId w:val="36"/>
        </w:numPr>
        <w:rPr>
          <w:rFonts w:cs="Arial"/>
          <w:sz w:val="22"/>
          <w:szCs w:val="22"/>
        </w:rPr>
      </w:pPr>
      <w:r w:rsidRPr="0027138B">
        <w:rPr>
          <w:rFonts w:cs="Arial"/>
          <w:sz w:val="22"/>
          <w:szCs w:val="22"/>
        </w:rPr>
        <w:t>Keep Records: Maintain up-to-date records of contractor qualifications, licences, and insurance.</w:t>
      </w:r>
    </w:p>
    <w:p w14:paraId="2A68E559" w14:textId="77777777" w:rsidR="0027138B" w:rsidRPr="0027138B" w:rsidRDefault="0027138B" w:rsidP="0027138B">
      <w:pPr>
        <w:rPr>
          <w:rFonts w:cs="Arial"/>
          <w:b/>
          <w:bCs/>
          <w:sz w:val="22"/>
          <w:szCs w:val="22"/>
        </w:rPr>
      </w:pPr>
      <w:r w:rsidRPr="0027138B">
        <w:rPr>
          <w:rFonts w:cs="Arial"/>
          <w:b/>
          <w:bCs/>
          <w:sz w:val="22"/>
          <w:szCs w:val="22"/>
        </w:rPr>
        <w:t>10. Psychosocial Hazards and Worker Wellbeing (2022 Regulations Amendments)</w:t>
      </w:r>
    </w:p>
    <w:p w14:paraId="15335CE7" w14:textId="77777777" w:rsidR="0027138B" w:rsidRPr="0027138B" w:rsidRDefault="0027138B" w:rsidP="0027138B">
      <w:pPr>
        <w:rPr>
          <w:rFonts w:cs="Arial"/>
          <w:sz w:val="22"/>
          <w:szCs w:val="22"/>
        </w:rPr>
      </w:pPr>
      <w:r w:rsidRPr="0027138B">
        <w:rPr>
          <w:rFonts w:cs="Arial"/>
          <w:sz w:val="22"/>
          <w:szCs w:val="22"/>
        </w:rPr>
        <w:t>Under recent amendments to the WHS Regulations, PCBUs must manage psychosocial risks just like physical risks. This includes:</w:t>
      </w:r>
    </w:p>
    <w:p w14:paraId="6E7FCE06" w14:textId="77777777" w:rsidR="0027138B" w:rsidRPr="0027138B" w:rsidRDefault="0027138B" w:rsidP="0027138B">
      <w:pPr>
        <w:numPr>
          <w:ilvl w:val="0"/>
          <w:numId w:val="37"/>
        </w:numPr>
        <w:rPr>
          <w:rFonts w:cs="Arial"/>
          <w:sz w:val="22"/>
          <w:szCs w:val="22"/>
        </w:rPr>
      </w:pPr>
      <w:r w:rsidRPr="0027138B">
        <w:rPr>
          <w:rFonts w:cs="Arial"/>
          <w:sz w:val="22"/>
          <w:szCs w:val="22"/>
        </w:rPr>
        <w:t>Preventing Bullying and Harassment: Fostering a respectful and inclusive culture.</w:t>
      </w:r>
    </w:p>
    <w:p w14:paraId="380FC0A7" w14:textId="77777777" w:rsidR="0027138B" w:rsidRPr="0027138B" w:rsidRDefault="0027138B" w:rsidP="0027138B">
      <w:pPr>
        <w:numPr>
          <w:ilvl w:val="0"/>
          <w:numId w:val="37"/>
        </w:numPr>
        <w:rPr>
          <w:rFonts w:cs="Arial"/>
          <w:sz w:val="22"/>
          <w:szCs w:val="22"/>
        </w:rPr>
      </w:pPr>
      <w:r w:rsidRPr="0027138B">
        <w:rPr>
          <w:rFonts w:cs="Arial"/>
          <w:sz w:val="22"/>
          <w:szCs w:val="22"/>
        </w:rPr>
        <w:t>Managing Work-Related Stress: Ensuring appropriate workloads, clear communication, and support mechanisms.</w:t>
      </w:r>
    </w:p>
    <w:p w14:paraId="4F5EA5E7" w14:textId="77777777" w:rsidR="0027138B" w:rsidRPr="0027138B" w:rsidRDefault="0027138B" w:rsidP="0027138B">
      <w:pPr>
        <w:numPr>
          <w:ilvl w:val="0"/>
          <w:numId w:val="37"/>
        </w:numPr>
        <w:rPr>
          <w:rFonts w:cs="Arial"/>
          <w:sz w:val="22"/>
          <w:szCs w:val="22"/>
        </w:rPr>
      </w:pPr>
      <w:r w:rsidRPr="0027138B">
        <w:rPr>
          <w:rFonts w:cs="Arial"/>
          <w:sz w:val="22"/>
          <w:szCs w:val="22"/>
        </w:rPr>
        <w:t>Promoting Wellbeing: Encouraging positive mental health practices across the club.</w:t>
      </w:r>
    </w:p>
    <w:p w14:paraId="7D0F6395" w14:textId="77777777" w:rsidR="0027138B" w:rsidRPr="0027138B" w:rsidRDefault="00490B49" w:rsidP="0027138B">
      <w:pPr>
        <w:rPr>
          <w:rFonts w:cs="Arial"/>
          <w:sz w:val="22"/>
          <w:szCs w:val="22"/>
        </w:rPr>
      </w:pPr>
      <w:r>
        <w:rPr>
          <w:rFonts w:cs="Arial"/>
          <w:sz w:val="22"/>
          <w:szCs w:val="22"/>
        </w:rPr>
        <w:pict w14:anchorId="1C46E68B">
          <v:rect id="_x0000_i1025" style="width:0;height:1.5pt" o:hralign="center" o:hrstd="t" o:hr="t" fillcolor="#a0a0a0" stroked="f"/>
        </w:pict>
      </w:r>
    </w:p>
    <w:p w14:paraId="526C5512" w14:textId="77777777" w:rsidR="0027138B" w:rsidRPr="0027138B" w:rsidRDefault="0027138B" w:rsidP="0027138B">
      <w:pPr>
        <w:rPr>
          <w:rFonts w:cs="Arial"/>
          <w:b/>
          <w:bCs/>
          <w:sz w:val="22"/>
          <w:szCs w:val="22"/>
        </w:rPr>
      </w:pPr>
      <w:r w:rsidRPr="0027138B">
        <w:rPr>
          <w:rFonts w:cs="Arial"/>
          <w:b/>
          <w:bCs/>
          <w:sz w:val="22"/>
          <w:szCs w:val="22"/>
        </w:rPr>
        <w:t>Conclusion</w:t>
      </w:r>
    </w:p>
    <w:p w14:paraId="21087CD1" w14:textId="77777777" w:rsidR="0027138B" w:rsidRPr="0027138B" w:rsidRDefault="0027138B" w:rsidP="0027138B">
      <w:pPr>
        <w:rPr>
          <w:rFonts w:cs="Arial"/>
          <w:sz w:val="22"/>
          <w:szCs w:val="22"/>
        </w:rPr>
      </w:pPr>
      <w:r w:rsidRPr="0027138B">
        <w:rPr>
          <w:rFonts w:cs="Arial"/>
          <w:sz w:val="22"/>
          <w:szCs w:val="22"/>
        </w:rPr>
        <w:t>Under the harmonised WHS Acts, the management board of a golf club has clear and enforceable legal responsibilities to safeguard the health, safety, and wellbeing of its workers, volunteers, contractors, and visitors. This includes maintaining a safe physical environment, consulting with workers, managing hazards, and exercising due diligence as Officers. Ignoring these obligations can lead to serious legal and financial consequences, including personal liability for board members.</w:t>
      </w:r>
    </w:p>
    <w:sectPr w:rsidR="0027138B" w:rsidRPr="0027138B" w:rsidSect="004A3BA5">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397" w:gutter="0"/>
      <w:paperSrc w:first="293" w:other="2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004B2" w14:textId="77777777" w:rsidR="001D017E" w:rsidRDefault="001D017E" w:rsidP="001F7B32">
      <w:pPr>
        <w:spacing w:after="0" w:line="240" w:lineRule="auto"/>
      </w:pPr>
      <w:r>
        <w:separator/>
      </w:r>
    </w:p>
    <w:p w14:paraId="026116E8" w14:textId="77777777" w:rsidR="001D017E" w:rsidRDefault="001D017E"/>
    <w:p w14:paraId="61B86785" w14:textId="77777777" w:rsidR="001D017E" w:rsidRDefault="001D017E"/>
  </w:endnote>
  <w:endnote w:type="continuationSeparator" w:id="0">
    <w:p w14:paraId="0C14BBFA" w14:textId="77777777" w:rsidR="001D017E" w:rsidRDefault="001D017E" w:rsidP="001F7B32">
      <w:pPr>
        <w:spacing w:after="0" w:line="240" w:lineRule="auto"/>
      </w:pPr>
      <w:r>
        <w:continuationSeparator/>
      </w:r>
    </w:p>
    <w:p w14:paraId="127C0A50" w14:textId="77777777" w:rsidR="001D017E" w:rsidRDefault="001D017E"/>
    <w:p w14:paraId="3BA46426" w14:textId="77777777" w:rsidR="001D017E" w:rsidRDefault="001D017E"/>
  </w:endnote>
  <w:endnote w:type="continuationNotice" w:id="1">
    <w:p w14:paraId="7C627187" w14:textId="77777777" w:rsidR="001D017E" w:rsidRDefault="001D017E">
      <w:pPr>
        <w:spacing w:after="0" w:line="240" w:lineRule="auto"/>
      </w:pPr>
    </w:p>
    <w:p w14:paraId="67AA47F2" w14:textId="77777777" w:rsidR="001D017E" w:rsidRDefault="001D0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2979" w14:textId="77777777" w:rsidR="00BD2AE3" w:rsidRDefault="00BD2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41CD" w14:textId="2DEBE8DC" w:rsidR="001F7B32" w:rsidRPr="00823414" w:rsidRDefault="001F7B32" w:rsidP="006F7C0B">
    <w:pPr>
      <w:pStyle w:val="Footer"/>
      <w:tabs>
        <w:tab w:val="left" w:pos="9781"/>
      </w:tabs>
      <w:rPr>
        <w:rFonts w:ascii="Arial" w:hAnsi="Arial" w:cs="Arial"/>
        <w:b/>
        <w:bCs/>
        <w:color w:val="FFFFFF" w:themeColor="background1"/>
        <w:sz w:val="10"/>
        <w:szCs w:val="10"/>
      </w:rPr>
    </w:pPr>
    <w:r w:rsidRPr="00823414">
      <w:rPr>
        <w:rFonts w:ascii="Arial" w:hAnsi="Arial" w:cs="Arial"/>
        <w:b/>
        <w:bCs/>
        <w:color w:val="FFFFFF" w:themeColor="background1"/>
        <w:sz w:val="16"/>
        <w:szCs w:val="16"/>
      </w:rPr>
      <w:ptab w:relativeTo="margin" w:alignment="center" w:leader="none"/>
    </w:r>
    <w:r w:rsidRPr="00823414">
      <w:rPr>
        <w:rFonts w:ascii="Arial" w:hAnsi="Arial" w:cs="Arial"/>
        <w:b/>
        <w:bCs/>
        <w:color w:val="FFFFFF" w:themeColor="background1"/>
        <w:sz w:val="16"/>
        <w:szCs w:val="16"/>
      </w:rPr>
      <w:ptab w:relativeTo="margin" w:alignment="right" w:leader="none"/>
    </w:r>
    <w:r w:rsidR="004F73DC" w:rsidRPr="00823414">
      <w:rPr>
        <w:rFonts w:ascii="Arial" w:hAnsi="Arial" w:cs="Arial"/>
        <w:b/>
        <w:bCs/>
        <w:color w:val="FFFFFF" w:themeColor="background1"/>
        <w:sz w:val="16"/>
        <w:szCs w:val="16"/>
      </w:rPr>
      <w:t xml:space="preserve">   </w:t>
    </w:r>
    <w:r w:rsidRPr="00823414">
      <w:rPr>
        <w:rFonts w:ascii="Arial" w:hAnsi="Arial" w:cs="Arial"/>
        <w:b/>
        <w:bCs/>
        <w:color w:val="FFFFFF" w:themeColor="background1"/>
        <w:sz w:val="16"/>
        <w:szCs w:val="16"/>
      </w:rPr>
      <w:t xml:space="preserve">Page </w:t>
    </w:r>
    <w:r w:rsidRPr="00823414">
      <w:rPr>
        <w:rFonts w:ascii="Arial" w:hAnsi="Arial" w:cs="Arial"/>
        <w:b/>
        <w:bCs/>
        <w:color w:val="FFFFFF" w:themeColor="background1"/>
        <w:sz w:val="16"/>
        <w:szCs w:val="16"/>
      </w:rPr>
      <w:fldChar w:fldCharType="begin"/>
    </w:r>
    <w:r w:rsidRPr="00823414">
      <w:rPr>
        <w:rFonts w:ascii="Arial" w:hAnsi="Arial" w:cs="Arial"/>
        <w:b/>
        <w:bCs/>
        <w:color w:val="FFFFFF" w:themeColor="background1"/>
        <w:sz w:val="16"/>
        <w:szCs w:val="16"/>
      </w:rPr>
      <w:instrText xml:space="preserve"> PAGE  \* Arabic  \* MERGEFORMAT </w:instrText>
    </w:r>
    <w:r w:rsidRPr="00823414">
      <w:rPr>
        <w:rFonts w:ascii="Arial" w:hAnsi="Arial" w:cs="Arial"/>
        <w:b/>
        <w:bCs/>
        <w:color w:val="FFFFFF" w:themeColor="background1"/>
        <w:sz w:val="16"/>
        <w:szCs w:val="16"/>
      </w:rPr>
      <w:fldChar w:fldCharType="separate"/>
    </w:r>
    <w:r w:rsidRPr="00823414">
      <w:rPr>
        <w:rFonts w:ascii="Arial" w:hAnsi="Arial" w:cs="Arial"/>
        <w:b/>
        <w:bCs/>
        <w:noProof/>
        <w:color w:val="FFFFFF" w:themeColor="background1"/>
        <w:sz w:val="16"/>
        <w:szCs w:val="16"/>
      </w:rPr>
      <w:t>1</w:t>
    </w:r>
    <w:r w:rsidRPr="00823414">
      <w:rPr>
        <w:rFonts w:ascii="Arial" w:hAnsi="Arial" w:cs="Arial"/>
        <w:b/>
        <w:bCs/>
        <w:color w:val="FFFFFF" w:themeColor="background1"/>
        <w:sz w:val="16"/>
        <w:szCs w:val="16"/>
      </w:rPr>
      <w:fldChar w:fldCharType="end"/>
    </w:r>
    <w:r w:rsidRPr="00823414">
      <w:rPr>
        <w:rFonts w:ascii="Arial" w:hAnsi="Arial" w:cs="Arial"/>
        <w:b/>
        <w:bCs/>
        <w:color w:val="FFFFFF" w:themeColor="background1"/>
        <w:sz w:val="16"/>
        <w:szCs w:val="16"/>
      </w:rPr>
      <w:t xml:space="preserve"> of </w:t>
    </w:r>
    <w:r w:rsidRPr="00823414">
      <w:rPr>
        <w:rFonts w:ascii="Arial" w:hAnsi="Arial" w:cs="Arial"/>
        <w:b/>
        <w:bCs/>
        <w:color w:val="FFFFFF" w:themeColor="background1"/>
        <w:sz w:val="16"/>
        <w:szCs w:val="16"/>
      </w:rPr>
      <w:fldChar w:fldCharType="begin"/>
    </w:r>
    <w:r w:rsidRPr="00823414">
      <w:rPr>
        <w:rFonts w:ascii="Arial" w:hAnsi="Arial" w:cs="Arial"/>
        <w:b/>
        <w:bCs/>
        <w:color w:val="FFFFFF" w:themeColor="background1"/>
        <w:sz w:val="16"/>
        <w:szCs w:val="16"/>
      </w:rPr>
      <w:instrText xml:space="preserve"> NUMPAGES  \* Arabic  \* MERGEFORMAT </w:instrText>
    </w:r>
    <w:r w:rsidRPr="00823414">
      <w:rPr>
        <w:rFonts w:ascii="Arial" w:hAnsi="Arial" w:cs="Arial"/>
        <w:b/>
        <w:bCs/>
        <w:color w:val="FFFFFF" w:themeColor="background1"/>
        <w:sz w:val="16"/>
        <w:szCs w:val="16"/>
      </w:rPr>
      <w:fldChar w:fldCharType="separate"/>
    </w:r>
    <w:r w:rsidRPr="00823414">
      <w:rPr>
        <w:rFonts w:ascii="Arial" w:hAnsi="Arial" w:cs="Arial"/>
        <w:b/>
        <w:bCs/>
        <w:noProof/>
        <w:color w:val="FFFFFF" w:themeColor="background1"/>
        <w:sz w:val="16"/>
        <w:szCs w:val="16"/>
      </w:rPr>
      <w:t>2</w:t>
    </w:r>
    <w:r w:rsidRPr="00823414">
      <w:rPr>
        <w:rFonts w:ascii="Arial" w:hAnsi="Arial" w:cs="Arial"/>
        <w:b/>
        <w:bCs/>
        <w:color w:val="FFFFFF" w:themeColor="background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0382" w14:textId="77777777" w:rsidR="00BD2AE3" w:rsidRDefault="00BD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9C26" w14:textId="77777777" w:rsidR="001D017E" w:rsidRDefault="001D017E" w:rsidP="001F7B32">
      <w:pPr>
        <w:spacing w:after="0" w:line="240" w:lineRule="auto"/>
      </w:pPr>
      <w:r>
        <w:separator/>
      </w:r>
    </w:p>
    <w:p w14:paraId="086E510D" w14:textId="77777777" w:rsidR="001D017E" w:rsidRDefault="001D017E"/>
    <w:p w14:paraId="0B280650" w14:textId="77777777" w:rsidR="001D017E" w:rsidRDefault="001D017E"/>
  </w:footnote>
  <w:footnote w:type="continuationSeparator" w:id="0">
    <w:p w14:paraId="693621B8" w14:textId="77777777" w:rsidR="001D017E" w:rsidRDefault="001D017E" w:rsidP="001F7B32">
      <w:pPr>
        <w:spacing w:after="0" w:line="240" w:lineRule="auto"/>
      </w:pPr>
      <w:r>
        <w:continuationSeparator/>
      </w:r>
    </w:p>
    <w:p w14:paraId="5CB890B8" w14:textId="77777777" w:rsidR="001D017E" w:rsidRDefault="001D017E"/>
    <w:p w14:paraId="2F94CCDE" w14:textId="77777777" w:rsidR="001D017E" w:rsidRDefault="001D017E"/>
  </w:footnote>
  <w:footnote w:type="continuationNotice" w:id="1">
    <w:p w14:paraId="3DE43DA9" w14:textId="77777777" w:rsidR="001D017E" w:rsidRDefault="001D017E">
      <w:pPr>
        <w:spacing w:after="0" w:line="240" w:lineRule="auto"/>
      </w:pPr>
    </w:p>
    <w:p w14:paraId="781E4EE3" w14:textId="77777777" w:rsidR="001D017E" w:rsidRDefault="001D0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2FBB" w14:textId="77777777" w:rsidR="00BD2AE3" w:rsidRDefault="00BD2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648A" w14:textId="70A7213E" w:rsidR="001F7B32" w:rsidRDefault="001369C1">
    <w:pPr>
      <w:pStyle w:val="Header"/>
    </w:pPr>
    <w:r>
      <w:rPr>
        <w:noProof/>
      </w:rPr>
      <mc:AlternateContent>
        <mc:Choice Requires="wps">
          <w:drawing>
            <wp:anchor distT="0" distB="0" distL="114300" distR="114300" simplePos="0" relativeHeight="251657216" behindDoc="0" locked="0" layoutInCell="1" allowOverlap="1" wp14:anchorId="12BC4D15" wp14:editId="0076A3E3">
              <wp:simplePos x="0" y="0"/>
              <wp:positionH relativeFrom="page">
                <wp:posOffset>0</wp:posOffset>
              </wp:positionH>
              <wp:positionV relativeFrom="paragraph">
                <wp:posOffset>-87791</wp:posOffset>
              </wp:positionV>
              <wp:extent cx="7560000" cy="457200"/>
              <wp:effectExtent l="0" t="0" r="0" b="0"/>
              <wp:wrapNone/>
              <wp:docPr id="537499859" name="Text Box 2"/>
              <wp:cNvGraphicFramePr/>
              <a:graphic xmlns:a="http://schemas.openxmlformats.org/drawingml/2006/main">
                <a:graphicData uri="http://schemas.microsoft.com/office/word/2010/wordprocessingShape">
                  <wps:wsp>
                    <wps:cNvSpPr txBox="1"/>
                    <wps:spPr>
                      <a:xfrm>
                        <a:off x="0" y="0"/>
                        <a:ext cx="7560000" cy="457200"/>
                      </a:xfrm>
                      <a:prstGeom prst="rect">
                        <a:avLst/>
                      </a:prstGeom>
                      <a:noFill/>
                      <a:ln w="6350">
                        <a:noFill/>
                      </a:ln>
                    </wps:spPr>
                    <wps:txbx>
                      <w:txbxContent>
                        <w:p w14:paraId="1E76D313" w14:textId="4336C522" w:rsidR="004A2A0B" w:rsidRPr="00BD2AE3" w:rsidRDefault="007D76D7" w:rsidP="00683760">
                          <w:pPr>
                            <w:pStyle w:val="RMEHeading"/>
                            <w:rPr>
                              <w:sz w:val="28"/>
                              <w:szCs w:val="28"/>
                            </w:rPr>
                          </w:pPr>
                          <w:r>
                            <w:rPr>
                              <w:sz w:val="28"/>
                              <w:szCs w:val="28"/>
                            </w:rPr>
                            <w:t>Board Information</w:t>
                          </w:r>
                        </w:p>
                        <w:p w14:paraId="76A435D3" w14:textId="4ECC597B" w:rsidR="004A2A0B" w:rsidRPr="004A2A0B" w:rsidRDefault="00790649" w:rsidP="00683760">
                          <w:pPr>
                            <w:pStyle w:val="RMEHeading"/>
                          </w:pPr>
                          <w:r w:rsidRPr="00790649">
                            <w:t>© Risk Management Essentials Pty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C4D15" id="_x0000_t202" coordsize="21600,21600" o:spt="202" path="m,l,21600r21600,l21600,xe">
              <v:stroke joinstyle="miter"/>
              <v:path gradientshapeok="t" o:connecttype="rect"/>
            </v:shapetype>
            <v:shape id="Text Box 2" o:spid="_x0000_s1026" type="#_x0000_t202" style="position:absolute;margin-left:0;margin-top:-6.9pt;width:595.3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" filled="f" stroked="f" strokeweight=".5pt">
              <v:textbox>
                <w:txbxContent>
                  <w:p w14:paraId="1E76D313" w14:textId="4336C522" w:rsidR="004A2A0B" w:rsidRPr="00BD2AE3" w:rsidRDefault="007D76D7" w:rsidP="00683760">
                    <w:pPr>
                      <w:pStyle w:val="RMEHeading"/>
                      <w:rPr>
                        <w:sz w:val="28"/>
                        <w:szCs w:val="28"/>
                      </w:rPr>
                    </w:pPr>
                    <w:r>
                      <w:rPr>
                        <w:sz w:val="28"/>
                        <w:szCs w:val="28"/>
                      </w:rPr>
                      <w:t>Board Information</w:t>
                    </w:r>
                  </w:p>
                  <w:p w14:paraId="76A435D3" w14:textId="4ECC597B" w:rsidR="004A2A0B" w:rsidRPr="004A2A0B" w:rsidRDefault="00790649" w:rsidP="00683760">
                    <w:pPr>
                      <w:pStyle w:val="RMEHeading"/>
                    </w:pPr>
                    <w:r w:rsidRPr="00790649">
                      <w:t>© Risk Management Essentials Pty Ltd</w:t>
                    </w:r>
                  </w:p>
                </w:txbxContent>
              </v:textbox>
              <w10:wrap anchorx="page"/>
            </v:shape>
          </w:pict>
        </mc:Fallback>
      </mc:AlternateContent>
    </w:r>
    <w:r w:rsidR="0091290C">
      <w:rPr>
        <w:noProof/>
      </w:rPr>
      <w:drawing>
        <wp:anchor distT="0" distB="0" distL="114300" distR="114300" simplePos="0" relativeHeight="251658240" behindDoc="1" locked="1" layoutInCell="1" allowOverlap="1" wp14:anchorId="56B33AB0" wp14:editId="270D4DB4">
          <wp:simplePos x="0" y="0"/>
          <wp:positionH relativeFrom="page">
            <wp:align>left</wp:align>
          </wp:positionH>
          <wp:positionV relativeFrom="page">
            <wp:align>top</wp:align>
          </wp:positionV>
          <wp:extent cx="7596000" cy="10742842"/>
          <wp:effectExtent l="0" t="0" r="5080" b="1905"/>
          <wp:wrapNone/>
          <wp:docPr id="2117084862" name="Picture 2" descr="A white background with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4862" name="Picture 2" descr="A white background with black dots"/>
                  <pic:cNvPicPr/>
                </pic:nvPicPr>
                <pic:blipFill>
                  <a:blip r:embed="rId1">
                    <a:extLst>
                      <a:ext uri="{28A0092B-C50C-407E-A947-70E740481C1C}">
                        <a14:useLocalDpi xmlns:a14="http://schemas.microsoft.com/office/drawing/2010/main" val="0"/>
                      </a:ext>
                    </a:extLst>
                  </a:blip>
                  <a:stretch>
                    <a:fillRect/>
                  </a:stretch>
                </pic:blipFill>
                <pic:spPr>
                  <a:xfrm>
                    <a:off x="0" y="0"/>
                    <a:ext cx="7596000" cy="10742842"/>
                  </a:xfrm>
                  <a:prstGeom prst="rect">
                    <a:avLst/>
                  </a:prstGeom>
                </pic:spPr>
              </pic:pic>
            </a:graphicData>
          </a:graphic>
          <wp14:sizeRelH relativeFrom="page">
            <wp14:pctWidth>0</wp14:pctWidth>
          </wp14:sizeRelH>
          <wp14:sizeRelV relativeFrom="page">
            <wp14:pctHeight>0</wp14:pctHeight>
          </wp14:sizeRelV>
        </wp:anchor>
      </w:drawing>
    </w:r>
  </w:p>
  <w:p w14:paraId="356ACCEB" w14:textId="7CF61F54" w:rsidR="00E61D17" w:rsidRDefault="00823414" w:rsidP="00823414">
    <w:pPr>
      <w:tabs>
        <w:tab w:val="left" w:pos="66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A8B6" w14:textId="77777777" w:rsidR="00BD2AE3" w:rsidRDefault="00BD2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0A6B"/>
    <w:multiLevelType w:val="multilevel"/>
    <w:tmpl w:val="C908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4309E"/>
    <w:multiLevelType w:val="multilevel"/>
    <w:tmpl w:val="C8FC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85643"/>
    <w:multiLevelType w:val="hybridMultilevel"/>
    <w:tmpl w:val="02F48EE6"/>
    <w:lvl w:ilvl="0" w:tplc="89F02468">
      <w:start w:val="1"/>
      <w:numFmt w:val="bullet"/>
      <w:pStyle w:val="RMEBodyBulletStyle"/>
      <w:lvlText w:val=""/>
      <w:lvlJc w:val="left"/>
      <w:pPr>
        <w:ind w:left="720" w:hanging="360"/>
      </w:pPr>
      <w:rPr>
        <w:rFonts w:ascii="Symbol" w:hAnsi="Symbol" w:hint="default"/>
        <w:color w:val="23A0A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E26D3A"/>
    <w:multiLevelType w:val="multilevel"/>
    <w:tmpl w:val="16E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4610"/>
    <w:multiLevelType w:val="multilevel"/>
    <w:tmpl w:val="4D3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D23FE"/>
    <w:multiLevelType w:val="multilevel"/>
    <w:tmpl w:val="14F2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53C8F"/>
    <w:multiLevelType w:val="multilevel"/>
    <w:tmpl w:val="D1B2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57463"/>
    <w:multiLevelType w:val="multilevel"/>
    <w:tmpl w:val="9576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2577A"/>
    <w:multiLevelType w:val="multilevel"/>
    <w:tmpl w:val="7858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F26CE"/>
    <w:multiLevelType w:val="multilevel"/>
    <w:tmpl w:val="DF9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F5365"/>
    <w:multiLevelType w:val="multilevel"/>
    <w:tmpl w:val="1AA4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73FFD"/>
    <w:multiLevelType w:val="multilevel"/>
    <w:tmpl w:val="4040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C4700"/>
    <w:multiLevelType w:val="multilevel"/>
    <w:tmpl w:val="FE6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6199F"/>
    <w:multiLevelType w:val="multilevel"/>
    <w:tmpl w:val="571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53592"/>
    <w:multiLevelType w:val="multilevel"/>
    <w:tmpl w:val="E4B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D4993"/>
    <w:multiLevelType w:val="multilevel"/>
    <w:tmpl w:val="B2CE2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515AE9"/>
    <w:multiLevelType w:val="multilevel"/>
    <w:tmpl w:val="DEC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B7A23"/>
    <w:multiLevelType w:val="multilevel"/>
    <w:tmpl w:val="A91A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67DCE"/>
    <w:multiLevelType w:val="multilevel"/>
    <w:tmpl w:val="5128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537AE"/>
    <w:multiLevelType w:val="multilevel"/>
    <w:tmpl w:val="BD60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95E67"/>
    <w:multiLevelType w:val="multilevel"/>
    <w:tmpl w:val="B868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553CE"/>
    <w:multiLevelType w:val="hybridMultilevel"/>
    <w:tmpl w:val="5C520DFA"/>
    <w:lvl w:ilvl="0" w:tplc="E2E87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4E6E49"/>
    <w:multiLevelType w:val="multilevel"/>
    <w:tmpl w:val="6246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91860"/>
    <w:multiLevelType w:val="multilevel"/>
    <w:tmpl w:val="C0C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9B1CEE"/>
    <w:multiLevelType w:val="multilevel"/>
    <w:tmpl w:val="38F0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1E5381"/>
    <w:multiLevelType w:val="multilevel"/>
    <w:tmpl w:val="6E7E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F5522"/>
    <w:multiLevelType w:val="multilevel"/>
    <w:tmpl w:val="6968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422B0"/>
    <w:multiLevelType w:val="multilevel"/>
    <w:tmpl w:val="DEB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36414"/>
    <w:multiLevelType w:val="multilevel"/>
    <w:tmpl w:val="650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2D217E"/>
    <w:multiLevelType w:val="multilevel"/>
    <w:tmpl w:val="25D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5860B8"/>
    <w:multiLevelType w:val="multilevel"/>
    <w:tmpl w:val="7FB8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B2330F"/>
    <w:multiLevelType w:val="multilevel"/>
    <w:tmpl w:val="14A4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D7C02"/>
    <w:multiLevelType w:val="multilevel"/>
    <w:tmpl w:val="4E54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E53D9"/>
    <w:multiLevelType w:val="multilevel"/>
    <w:tmpl w:val="FCF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87BA7"/>
    <w:multiLevelType w:val="multilevel"/>
    <w:tmpl w:val="323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95117"/>
    <w:multiLevelType w:val="multilevel"/>
    <w:tmpl w:val="3498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86033"/>
    <w:multiLevelType w:val="multilevel"/>
    <w:tmpl w:val="BF34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666465">
    <w:abstractNumId w:val="9"/>
  </w:num>
  <w:num w:numId="2" w16cid:durableId="1203791183">
    <w:abstractNumId w:val="21"/>
  </w:num>
  <w:num w:numId="3" w16cid:durableId="444229169">
    <w:abstractNumId w:val="2"/>
  </w:num>
  <w:num w:numId="4" w16cid:durableId="859582539">
    <w:abstractNumId w:val="15"/>
  </w:num>
  <w:num w:numId="5" w16cid:durableId="152139108">
    <w:abstractNumId w:val="27"/>
  </w:num>
  <w:num w:numId="6" w16cid:durableId="214779242">
    <w:abstractNumId w:val="11"/>
  </w:num>
  <w:num w:numId="7" w16cid:durableId="939609776">
    <w:abstractNumId w:val="10"/>
  </w:num>
  <w:num w:numId="8" w16cid:durableId="91632018">
    <w:abstractNumId w:val="1"/>
  </w:num>
  <w:num w:numId="9" w16cid:durableId="207880433">
    <w:abstractNumId w:val="29"/>
  </w:num>
  <w:num w:numId="10" w16cid:durableId="2093818072">
    <w:abstractNumId w:val="19"/>
  </w:num>
  <w:num w:numId="11" w16cid:durableId="2086760727">
    <w:abstractNumId w:val="13"/>
  </w:num>
  <w:num w:numId="12" w16cid:durableId="279342472">
    <w:abstractNumId w:val="18"/>
  </w:num>
  <w:num w:numId="13" w16cid:durableId="908923406">
    <w:abstractNumId w:val="14"/>
  </w:num>
  <w:num w:numId="14" w16cid:durableId="2106415432">
    <w:abstractNumId w:val="22"/>
  </w:num>
  <w:num w:numId="15" w16cid:durableId="825048406">
    <w:abstractNumId w:val="23"/>
  </w:num>
  <w:num w:numId="16" w16cid:durableId="1439373038">
    <w:abstractNumId w:val="35"/>
  </w:num>
  <w:num w:numId="17" w16cid:durableId="1327322761">
    <w:abstractNumId w:val="30"/>
  </w:num>
  <w:num w:numId="18" w16cid:durableId="336008923">
    <w:abstractNumId w:val="6"/>
  </w:num>
  <w:num w:numId="19" w16cid:durableId="743769334">
    <w:abstractNumId w:val="36"/>
  </w:num>
  <w:num w:numId="20" w16cid:durableId="67726389">
    <w:abstractNumId w:val="0"/>
  </w:num>
  <w:num w:numId="21" w16cid:durableId="2144810758">
    <w:abstractNumId w:val="28"/>
  </w:num>
  <w:num w:numId="22" w16cid:durableId="1619946877">
    <w:abstractNumId w:val="5"/>
  </w:num>
  <w:num w:numId="23" w16cid:durableId="1676961383">
    <w:abstractNumId w:val="3"/>
  </w:num>
  <w:num w:numId="24" w16cid:durableId="1978030568">
    <w:abstractNumId w:val="17"/>
  </w:num>
  <w:num w:numId="25" w16cid:durableId="1229153636">
    <w:abstractNumId w:val="25"/>
  </w:num>
  <w:num w:numId="26" w16cid:durableId="154880678">
    <w:abstractNumId w:val="34"/>
  </w:num>
  <w:num w:numId="27" w16cid:durableId="173880014">
    <w:abstractNumId w:val="24"/>
  </w:num>
  <w:num w:numId="28" w16cid:durableId="43143526">
    <w:abstractNumId w:val="20"/>
  </w:num>
  <w:num w:numId="29" w16cid:durableId="100733278">
    <w:abstractNumId w:val="33"/>
  </w:num>
  <w:num w:numId="30" w16cid:durableId="759570477">
    <w:abstractNumId w:val="31"/>
  </w:num>
  <w:num w:numId="31" w16cid:durableId="165680103">
    <w:abstractNumId w:val="7"/>
  </w:num>
  <w:num w:numId="32" w16cid:durableId="1017586703">
    <w:abstractNumId w:val="12"/>
  </w:num>
  <w:num w:numId="33" w16cid:durableId="1256400368">
    <w:abstractNumId w:val="4"/>
  </w:num>
  <w:num w:numId="34" w16cid:durableId="536626722">
    <w:abstractNumId w:val="8"/>
  </w:num>
  <w:num w:numId="35" w16cid:durableId="1274899392">
    <w:abstractNumId w:val="16"/>
  </w:num>
  <w:num w:numId="36" w16cid:durableId="913468372">
    <w:abstractNumId w:val="32"/>
  </w:num>
  <w:num w:numId="37" w16cid:durableId="6899944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32"/>
    <w:rsid w:val="00033792"/>
    <w:rsid w:val="001369C1"/>
    <w:rsid w:val="001630C7"/>
    <w:rsid w:val="00170EB2"/>
    <w:rsid w:val="00184160"/>
    <w:rsid w:val="0019045E"/>
    <w:rsid w:val="00191088"/>
    <w:rsid w:val="001D017E"/>
    <w:rsid w:val="001F7B32"/>
    <w:rsid w:val="00241891"/>
    <w:rsid w:val="0027138B"/>
    <w:rsid w:val="00287DB8"/>
    <w:rsid w:val="002A2F27"/>
    <w:rsid w:val="002E16E4"/>
    <w:rsid w:val="0031485A"/>
    <w:rsid w:val="003429F9"/>
    <w:rsid w:val="00347FF3"/>
    <w:rsid w:val="00390D8B"/>
    <w:rsid w:val="003F59EF"/>
    <w:rsid w:val="0041617E"/>
    <w:rsid w:val="00490B49"/>
    <w:rsid w:val="004A2A0B"/>
    <w:rsid w:val="004A3BA5"/>
    <w:rsid w:val="004B3FC9"/>
    <w:rsid w:val="004B62BF"/>
    <w:rsid w:val="004F1E99"/>
    <w:rsid w:val="004F73DC"/>
    <w:rsid w:val="00502975"/>
    <w:rsid w:val="0055773B"/>
    <w:rsid w:val="005E20BD"/>
    <w:rsid w:val="005E5E80"/>
    <w:rsid w:val="005E6480"/>
    <w:rsid w:val="006447C1"/>
    <w:rsid w:val="00683760"/>
    <w:rsid w:val="006A357A"/>
    <w:rsid w:val="006F301E"/>
    <w:rsid w:val="006F7C0B"/>
    <w:rsid w:val="00700C1C"/>
    <w:rsid w:val="007148E5"/>
    <w:rsid w:val="00725B91"/>
    <w:rsid w:val="00746B40"/>
    <w:rsid w:val="00747900"/>
    <w:rsid w:val="00787D3C"/>
    <w:rsid w:val="00790649"/>
    <w:rsid w:val="007C7234"/>
    <w:rsid w:val="007D76D7"/>
    <w:rsid w:val="00812131"/>
    <w:rsid w:val="00823414"/>
    <w:rsid w:val="00835765"/>
    <w:rsid w:val="00865C23"/>
    <w:rsid w:val="0087211B"/>
    <w:rsid w:val="008741D6"/>
    <w:rsid w:val="008D43AD"/>
    <w:rsid w:val="0091290C"/>
    <w:rsid w:val="00915A54"/>
    <w:rsid w:val="009A3918"/>
    <w:rsid w:val="009D1B1F"/>
    <w:rsid w:val="00A42B16"/>
    <w:rsid w:val="00A543DF"/>
    <w:rsid w:val="00AF2578"/>
    <w:rsid w:val="00B341AA"/>
    <w:rsid w:val="00B53C4F"/>
    <w:rsid w:val="00B8784E"/>
    <w:rsid w:val="00BB2E59"/>
    <w:rsid w:val="00BD2AE3"/>
    <w:rsid w:val="00BE11B3"/>
    <w:rsid w:val="00BE4BE8"/>
    <w:rsid w:val="00BE58F1"/>
    <w:rsid w:val="00BE7C35"/>
    <w:rsid w:val="00C711A7"/>
    <w:rsid w:val="00CF1226"/>
    <w:rsid w:val="00D10486"/>
    <w:rsid w:val="00D12DFA"/>
    <w:rsid w:val="00D26C0F"/>
    <w:rsid w:val="00D4240E"/>
    <w:rsid w:val="00DC61E6"/>
    <w:rsid w:val="00DC74F9"/>
    <w:rsid w:val="00E54FA0"/>
    <w:rsid w:val="00E61D17"/>
    <w:rsid w:val="00E747D1"/>
    <w:rsid w:val="00E755E2"/>
    <w:rsid w:val="00EA0AE1"/>
    <w:rsid w:val="00EE5CEE"/>
    <w:rsid w:val="00EF73FA"/>
    <w:rsid w:val="00F10545"/>
    <w:rsid w:val="00F13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11B9B9"/>
  <w15:chartTrackingRefBased/>
  <w15:docId w15:val="{F154F0E2-B308-4539-8B0A-5A53A30D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C1"/>
    <w:pPr>
      <w:spacing w:line="278" w:lineRule="auto"/>
    </w:pPr>
    <w:rPr>
      <w:sz w:val="24"/>
      <w:szCs w:val="24"/>
    </w:rPr>
  </w:style>
  <w:style w:type="paragraph" w:styleId="Heading1">
    <w:name w:val="heading 1"/>
    <w:basedOn w:val="Normal"/>
    <w:next w:val="Normal"/>
    <w:link w:val="Heading1Char"/>
    <w:uiPriority w:val="9"/>
    <w:qFormat/>
    <w:rsid w:val="001F7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B32"/>
    <w:rPr>
      <w:rFonts w:eastAsiaTheme="majorEastAsia" w:cstheme="majorBidi"/>
      <w:color w:val="272727" w:themeColor="text1" w:themeTint="D8"/>
    </w:rPr>
  </w:style>
  <w:style w:type="paragraph" w:styleId="Title">
    <w:name w:val="Title"/>
    <w:basedOn w:val="Normal"/>
    <w:next w:val="Normal"/>
    <w:link w:val="TitleChar"/>
    <w:uiPriority w:val="10"/>
    <w:qFormat/>
    <w:rsid w:val="001F7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B32"/>
    <w:pPr>
      <w:spacing w:before="160"/>
      <w:jc w:val="center"/>
    </w:pPr>
    <w:rPr>
      <w:i/>
      <w:iCs/>
      <w:color w:val="404040" w:themeColor="text1" w:themeTint="BF"/>
    </w:rPr>
  </w:style>
  <w:style w:type="character" w:customStyle="1" w:styleId="QuoteChar">
    <w:name w:val="Quote Char"/>
    <w:basedOn w:val="DefaultParagraphFont"/>
    <w:link w:val="Quote"/>
    <w:uiPriority w:val="29"/>
    <w:rsid w:val="001F7B32"/>
    <w:rPr>
      <w:i/>
      <w:iCs/>
      <w:color w:val="404040" w:themeColor="text1" w:themeTint="BF"/>
    </w:rPr>
  </w:style>
  <w:style w:type="paragraph" w:styleId="ListParagraph">
    <w:name w:val="List Paragraph"/>
    <w:basedOn w:val="Normal"/>
    <w:uiPriority w:val="34"/>
    <w:qFormat/>
    <w:rsid w:val="001F7B32"/>
    <w:pPr>
      <w:ind w:left="720"/>
      <w:contextualSpacing/>
    </w:pPr>
  </w:style>
  <w:style w:type="character" w:styleId="IntenseEmphasis">
    <w:name w:val="Intense Emphasis"/>
    <w:basedOn w:val="DefaultParagraphFont"/>
    <w:uiPriority w:val="21"/>
    <w:qFormat/>
    <w:rsid w:val="001F7B32"/>
    <w:rPr>
      <w:i/>
      <w:iCs/>
      <w:color w:val="0F4761" w:themeColor="accent1" w:themeShade="BF"/>
    </w:rPr>
  </w:style>
  <w:style w:type="paragraph" w:styleId="IntenseQuote">
    <w:name w:val="Intense Quote"/>
    <w:basedOn w:val="Normal"/>
    <w:next w:val="Normal"/>
    <w:link w:val="IntenseQuoteChar"/>
    <w:uiPriority w:val="30"/>
    <w:qFormat/>
    <w:rsid w:val="001F7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B32"/>
    <w:rPr>
      <w:i/>
      <w:iCs/>
      <w:color w:val="0F4761" w:themeColor="accent1" w:themeShade="BF"/>
    </w:rPr>
  </w:style>
  <w:style w:type="character" w:styleId="IntenseReference">
    <w:name w:val="Intense Reference"/>
    <w:basedOn w:val="DefaultParagraphFont"/>
    <w:uiPriority w:val="32"/>
    <w:qFormat/>
    <w:rsid w:val="001F7B32"/>
    <w:rPr>
      <w:b/>
      <w:bCs/>
      <w:smallCaps/>
      <w:color w:val="0F4761" w:themeColor="accent1" w:themeShade="BF"/>
      <w:spacing w:val="5"/>
    </w:rPr>
  </w:style>
  <w:style w:type="paragraph" w:styleId="Header">
    <w:name w:val="header"/>
    <w:basedOn w:val="Normal"/>
    <w:link w:val="HeaderChar"/>
    <w:uiPriority w:val="99"/>
    <w:unhideWhenUsed/>
    <w:rsid w:val="001F7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B32"/>
  </w:style>
  <w:style w:type="paragraph" w:styleId="Footer">
    <w:name w:val="footer"/>
    <w:basedOn w:val="Normal"/>
    <w:link w:val="FooterChar"/>
    <w:uiPriority w:val="99"/>
    <w:unhideWhenUsed/>
    <w:rsid w:val="001F7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B32"/>
  </w:style>
  <w:style w:type="paragraph" w:styleId="NoSpacing">
    <w:name w:val="No Spacing"/>
    <w:basedOn w:val="Normal"/>
    <w:link w:val="NoSpacingChar"/>
    <w:uiPriority w:val="1"/>
    <w:qFormat/>
    <w:rsid w:val="00700C1C"/>
    <w:pPr>
      <w:spacing w:before="284" w:after="240" w:line="276" w:lineRule="auto"/>
    </w:pPr>
    <w:rPr>
      <w:rFonts w:ascii="Arial" w:hAnsi="Arial" w:cs="Arial"/>
      <w:sz w:val="20"/>
      <w:szCs w:val="20"/>
    </w:rPr>
  </w:style>
  <w:style w:type="paragraph" w:customStyle="1" w:styleId="RMEBodyBulletStyle">
    <w:name w:val="RME Body Bullet Style"/>
    <w:basedOn w:val="NoSpacing"/>
    <w:link w:val="RMEBodyBulletStyleChar"/>
    <w:qFormat/>
    <w:rsid w:val="0055773B"/>
    <w:pPr>
      <w:numPr>
        <w:numId w:val="3"/>
      </w:numPr>
    </w:pPr>
  </w:style>
  <w:style w:type="character" w:customStyle="1" w:styleId="NoSpacingChar">
    <w:name w:val="No Spacing Char"/>
    <w:basedOn w:val="DefaultParagraphFont"/>
    <w:link w:val="NoSpacing"/>
    <w:uiPriority w:val="1"/>
    <w:rsid w:val="0055773B"/>
    <w:rPr>
      <w:rFonts w:ascii="Arial" w:hAnsi="Arial" w:cs="Arial"/>
      <w:sz w:val="20"/>
      <w:szCs w:val="20"/>
    </w:rPr>
  </w:style>
  <w:style w:type="character" w:customStyle="1" w:styleId="RMEBodyBulletStyleChar">
    <w:name w:val="RME Body Bullet Style Char"/>
    <w:basedOn w:val="NoSpacingChar"/>
    <w:link w:val="RMEBodyBulletStyle"/>
    <w:rsid w:val="0055773B"/>
    <w:rPr>
      <w:rFonts w:ascii="Arial" w:hAnsi="Arial" w:cs="Arial"/>
      <w:sz w:val="20"/>
      <w:szCs w:val="20"/>
    </w:rPr>
  </w:style>
  <w:style w:type="paragraph" w:customStyle="1" w:styleId="RMEBodyStyle">
    <w:name w:val="RME Body Style"/>
    <w:basedOn w:val="NoSpacing"/>
    <w:link w:val="RMEBodyStyleChar"/>
    <w:qFormat/>
    <w:rsid w:val="00683760"/>
    <w:pPr>
      <w:spacing w:after="0"/>
    </w:pPr>
  </w:style>
  <w:style w:type="character" w:customStyle="1" w:styleId="RMEBodyStyleChar">
    <w:name w:val="RME Body Style Char"/>
    <w:basedOn w:val="NoSpacingChar"/>
    <w:link w:val="RMEBodyStyle"/>
    <w:rsid w:val="00683760"/>
    <w:rPr>
      <w:rFonts w:ascii="Arial" w:hAnsi="Arial" w:cs="Arial"/>
      <w:sz w:val="20"/>
      <w:szCs w:val="20"/>
    </w:rPr>
  </w:style>
  <w:style w:type="paragraph" w:customStyle="1" w:styleId="RMEHeading">
    <w:name w:val="RME Heading"/>
    <w:basedOn w:val="Normal"/>
    <w:link w:val="RMEHeadingChar"/>
    <w:qFormat/>
    <w:rsid w:val="00683760"/>
    <w:pPr>
      <w:spacing w:after="0"/>
      <w:jc w:val="center"/>
    </w:pPr>
    <w:rPr>
      <w:rFonts w:ascii="Arial" w:hAnsi="Arial" w:cs="Arial"/>
      <w:color w:val="23A0AF"/>
      <w:sz w:val="16"/>
      <w:szCs w:val="16"/>
      <w:lang w:val="en-US"/>
    </w:rPr>
  </w:style>
  <w:style w:type="character" w:customStyle="1" w:styleId="RMEHeadingChar">
    <w:name w:val="RME Heading Char"/>
    <w:basedOn w:val="DefaultParagraphFont"/>
    <w:link w:val="RMEHeading"/>
    <w:rsid w:val="00683760"/>
    <w:rPr>
      <w:rFonts w:ascii="Arial" w:hAnsi="Arial" w:cs="Arial"/>
      <w:color w:val="23A0A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6861">
      <w:bodyDiv w:val="1"/>
      <w:marLeft w:val="0"/>
      <w:marRight w:val="0"/>
      <w:marTop w:val="0"/>
      <w:marBottom w:val="0"/>
      <w:divBdr>
        <w:top w:val="none" w:sz="0" w:space="0" w:color="auto"/>
        <w:left w:val="none" w:sz="0" w:space="0" w:color="auto"/>
        <w:bottom w:val="none" w:sz="0" w:space="0" w:color="auto"/>
        <w:right w:val="none" w:sz="0" w:space="0" w:color="auto"/>
      </w:divBdr>
    </w:div>
    <w:div w:id="869295787">
      <w:bodyDiv w:val="1"/>
      <w:marLeft w:val="0"/>
      <w:marRight w:val="0"/>
      <w:marTop w:val="0"/>
      <w:marBottom w:val="0"/>
      <w:divBdr>
        <w:top w:val="none" w:sz="0" w:space="0" w:color="auto"/>
        <w:left w:val="none" w:sz="0" w:space="0" w:color="auto"/>
        <w:bottom w:val="none" w:sz="0" w:space="0" w:color="auto"/>
        <w:right w:val="none" w:sz="0" w:space="0" w:color="auto"/>
      </w:divBdr>
    </w:div>
    <w:div w:id="1007249920">
      <w:bodyDiv w:val="1"/>
      <w:marLeft w:val="0"/>
      <w:marRight w:val="0"/>
      <w:marTop w:val="0"/>
      <w:marBottom w:val="0"/>
      <w:divBdr>
        <w:top w:val="none" w:sz="0" w:space="0" w:color="auto"/>
        <w:left w:val="none" w:sz="0" w:space="0" w:color="auto"/>
        <w:bottom w:val="none" w:sz="0" w:space="0" w:color="auto"/>
        <w:right w:val="none" w:sz="0" w:space="0" w:color="auto"/>
      </w:divBdr>
    </w:div>
    <w:div w:id="21342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d07231-9df0-4f14-8612-4fec51ef556d" xsi:nil="true"/>
    <lcf76f155ced4ddcb4097134ff3c332f xmlns="39ea65e3-1a94-4ef3-96f0-a7f709e975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0FDA8CF449594BA6FA1B9EC02DE62A" ma:contentTypeVersion="19" ma:contentTypeDescription="Create a new document." ma:contentTypeScope="" ma:versionID="e0e241cd2b761896991f5bba4532233b">
  <xsd:schema xmlns:xsd="http://www.w3.org/2001/XMLSchema" xmlns:xs="http://www.w3.org/2001/XMLSchema" xmlns:p="http://schemas.microsoft.com/office/2006/metadata/properties" xmlns:ns2="39ea65e3-1a94-4ef3-96f0-a7f709e9759f" xmlns:ns3="d5d07231-9df0-4f14-8612-4fec51ef556d" targetNamespace="http://schemas.microsoft.com/office/2006/metadata/properties" ma:root="true" ma:fieldsID="060bd84667966a16067d8c94c5901fcb" ns2:_="" ns3:_="">
    <xsd:import namespace="39ea65e3-1a94-4ef3-96f0-a7f709e9759f"/>
    <xsd:import namespace="d5d07231-9df0-4f14-8612-4fec51ef556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a65e3-1a94-4ef3-96f0-a7f709e97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43496b-f37a-4084-99a8-023a199730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07231-9df0-4f14-8612-4fec51ef55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6c69a1-0b9b-4420-aa93-2c023dd19c64}" ma:internalName="TaxCatchAll" ma:showField="CatchAllData" ma:web="d5d07231-9df0-4f14-8612-4fec51ef5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FF25F-C145-480C-9149-D7E4735910BF}">
  <ds:schemaRefs>
    <ds:schemaRef ds:uri="http://schemas.openxmlformats.org/officeDocument/2006/bibliography"/>
  </ds:schemaRefs>
</ds:datastoreItem>
</file>

<file path=customXml/itemProps2.xml><?xml version="1.0" encoding="utf-8"?>
<ds:datastoreItem xmlns:ds="http://schemas.openxmlformats.org/officeDocument/2006/customXml" ds:itemID="{0FD6C28A-F876-444A-AA90-9DE790818FE7}">
  <ds:schemaRefs>
    <ds:schemaRef ds:uri="http://schemas.microsoft.com/sharepoint/v3/contenttype/forms"/>
  </ds:schemaRefs>
</ds:datastoreItem>
</file>

<file path=customXml/itemProps3.xml><?xml version="1.0" encoding="utf-8"?>
<ds:datastoreItem xmlns:ds="http://schemas.openxmlformats.org/officeDocument/2006/customXml" ds:itemID="{B443B5EF-3969-4CC6-AD46-AF134A910C8A}">
  <ds:schemaRefs>
    <ds:schemaRef ds:uri="http://www.w3.org/XML/1998/namespace"/>
    <ds:schemaRef ds:uri="http://schemas.microsoft.com/office/2006/documentManagement/types"/>
    <ds:schemaRef ds:uri="39ea65e3-1a94-4ef3-96f0-a7f709e9759f"/>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d5d07231-9df0-4f14-8612-4fec51ef556d"/>
  </ds:schemaRefs>
</ds:datastoreItem>
</file>

<file path=customXml/itemProps4.xml><?xml version="1.0" encoding="utf-8"?>
<ds:datastoreItem xmlns:ds="http://schemas.openxmlformats.org/officeDocument/2006/customXml" ds:itemID="{50140236-C003-4163-96EA-F5D70EF8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a65e3-1a94-4ef3-96f0-a7f709e9759f"/>
    <ds:schemaRef ds:uri="d5d07231-9df0-4f14-8612-4fec51ef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795</Words>
  <Characters>4744</Characters>
  <Application>Microsoft Office Word</Application>
  <DocSecurity>0</DocSecurity>
  <Lines>86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Quilici</dc:creator>
  <cp:keywords/>
  <dc:description/>
  <cp:lastModifiedBy>Dianne Rawlings</cp:lastModifiedBy>
  <cp:revision>5</cp:revision>
  <cp:lastPrinted>2025-04-14T04:50:00Z</cp:lastPrinted>
  <dcterms:created xsi:type="dcterms:W3CDTF">2025-04-14T03:57:00Z</dcterms:created>
  <dcterms:modified xsi:type="dcterms:W3CDTF">2025-04-14T04:50:00Z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0x010100430FDA8CF449594BA6FA1B9EC02DE62A</vt:lpwstr>
  </property>
  <property fmtid="{D5CDD505-2E9C-101B-9397-08002B2CF9AE}" pid="3" name="MediaServiceImageTags">
    <vt:lpwstr/>
  </property>
</Properties>
</file>