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CCD2" w14:textId="7AB4A305" w:rsidR="00B363A9" w:rsidRPr="00B363A9" w:rsidRDefault="00B363A9" w:rsidP="00B363A9">
      <w:pPr>
        <w:rPr>
          <w:b/>
          <w:bCs/>
        </w:rPr>
      </w:pPr>
      <w:r w:rsidRPr="00B363A9">
        <w:rPr>
          <w:b/>
          <w:bCs/>
        </w:rPr>
        <w:t>T</w:t>
      </w:r>
      <w:r>
        <w:rPr>
          <w:b/>
          <w:bCs/>
        </w:rPr>
        <w:t>oolbox Talk – Safe Handling of Electric Vehicles (EVs) in Collision Repair</w:t>
      </w:r>
    </w:p>
    <w:p w14:paraId="771173AB" w14:textId="4B4CC5D6" w:rsidR="00B363A9" w:rsidRPr="00B363A9" w:rsidRDefault="00B363A9" w:rsidP="00B363A9">
      <w:p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Relevant Legislation &amp; Standards:</w:t>
      </w:r>
    </w:p>
    <w:p w14:paraId="738F7016" w14:textId="77777777" w:rsidR="00B363A9" w:rsidRPr="00B363A9" w:rsidRDefault="00B363A9" w:rsidP="00B363A9">
      <w:pPr>
        <w:numPr>
          <w:ilvl w:val="0"/>
          <w:numId w:val="40"/>
        </w:numPr>
        <w:rPr>
          <w:sz w:val="22"/>
          <w:szCs w:val="22"/>
        </w:rPr>
      </w:pPr>
      <w:r w:rsidRPr="00B363A9">
        <w:rPr>
          <w:i/>
          <w:iCs/>
          <w:sz w:val="22"/>
          <w:szCs w:val="22"/>
        </w:rPr>
        <w:t>WHS Act (harmonised), s19 – Primary Duty of Care</w:t>
      </w:r>
    </w:p>
    <w:p w14:paraId="60CBFDB1" w14:textId="77777777" w:rsidR="00B363A9" w:rsidRPr="00B363A9" w:rsidRDefault="00B363A9" w:rsidP="00B363A9">
      <w:pPr>
        <w:numPr>
          <w:ilvl w:val="0"/>
          <w:numId w:val="40"/>
        </w:numPr>
        <w:rPr>
          <w:sz w:val="22"/>
          <w:szCs w:val="22"/>
        </w:rPr>
      </w:pPr>
      <w:r w:rsidRPr="00B363A9">
        <w:rPr>
          <w:i/>
          <w:iCs/>
          <w:sz w:val="22"/>
          <w:szCs w:val="22"/>
        </w:rPr>
        <w:t>OH&amp;S Act 2004 (Vic), s21 – Employer Duties; s25 – Employee Duties</w:t>
      </w:r>
    </w:p>
    <w:p w14:paraId="0CD05954" w14:textId="77777777" w:rsidR="00B363A9" w:rsidRPr="00B363A9" w:rsidRDefault="00B363A9" w:rsidP="00B363A9">
      <w:pPr>
        <w:numPr>
          <w:ilvl w:val="0"/>
          <w:numId w:val="40"/>
        </w:numPr>
        <w:rPr>
          <w:sz w:val="22"/>
          <w:szCs w:val="22"/>
        </w:rPr>
      </w:pPr>
      <w:r w:rsidRPr="00B363A9">
        <w:rPr>
          <w:i/>
          <w:iCs/>
          <w:sz w:val="22"/>
          <w:szCs w:val="22"/>
        </w:rPr>
        <w:t>WHS/OHS Regulations – Electrical Safety and Plant Safety</w:t>
      </w:r>
    </w:p>
    <w:p w14:paraId="2FFF9FD1" w14:textId="77777777" w:rsidR="00B363A9" w:rsidRPr="00B363A9" w:rsidRDefault="00B363A9" w:rsidP="00B363A9">
      <w:pPr>
        <w:numPr>
          <w:ilvl w:val="0"/>
          <w:numId w:val="40"/>
        </w:numPr>
        <w:rPr>
          <w:sz w:val="22"/>
          <w:szCs w:val="22"/>
        </w:rPr>
      </w:pPr>
      <w:r w:rsidRPr="00B363A9">
        <w:rPr>
          <w:i/>
          <w:iCs/>
          <w:sz w:val="22"/>
          <w:szCs w:val="22"/>
        </w:rPr>
        <w:t>AS 5732:2022 – Electric Vehicle Operations – Maintenance and Repair</w:t>
      </w:r>
    </w:p>
    <w:p w14:paraId="1072751B" w14:textId="77777777" w:rsidR="00B363A9" w:rsidRPr="00B363A9" w:rsidRDefault="00B363A9" w:rsidP="00B363A9">
      <w:pPr>
        <w:rPr>
          <w:b/>
          <w:bCs/>
          <w:sz w:val="22"/>
          <w:szCs w:val="22"/>
        </w:rPr>
      </w:pPr>
      <w:r w:rsidRPr="00B363A9">
        <w:rPr>
          <w:b/>
          <w:bCs/>
          <w:sz w:val="22"/>
          <w:szCs w:val="22"/>
        </w:rPr>
        <w:t xml:space="preserve">Why </w:t>
      </w:r>
      <w:proofErr w:type="gramStart"/>
      <w:r w:rsidRPr="00B363A9">
        <w:rPr>
          <w:b/>
          <w:bCs/>
          <w:sz w:val="22"/>
          <w:szCs w:val="22"/>
        </w:rPr>
        <w:t>this matters</w:t>
      </w:r>
      <w:proofErr w:type="gramEnd"/>
    </w:p>
    <w:p w14:paraId="120338CB" w14:textId="77777777" w:rsidR="00B363A9" w:rsidRPr="00B363A9" w:rsidRDefault="00B363A9" w:rsidP="00B363A9">
      <w:pPr>
        <w:rPr>
          <w:sz w:val="22"/>
          <w:szCs w:val="22"/>
        </w:rPr>
      </w:pPr>
      <w:r w:rsidRPr="00B363A9">
        <w:rPr>
          <w:sz w:val="22"/>
          <w:szCs w:val="22"/>
        </w:rPr>
        <w:t xml:space="preserve">Electric Vehicles (EVs) can store high-voltage energy (up to 800V) and pose significant hazards after a crash. The Australian Standard AS 5732:2022 sets out minimum safety requirements for identifying, isolating, and repairing EVs safely. Untrained handling can cause </w:t>
      </w:r>
      <w:r w:rsidRPr="00B363A9">
        <w:rPr>
          <w:b/>
          <w:bCs/>
          <w:sz w:val="22"/>
          <w:szCs w:val="22"/>
        </w:rPr>
        <w:t>electric shock</w:t>
      </w:r>
      <w:r w:rsidRPr="00B363A9">
        <w:rPr>
          <w:sz w:val="22"/>
          <w:szCs w:val="22"/>
        </w:rPr>
        <w:t xml:space="preserve">, </w:t>
      </w:r>
      <w:r w:rsidRPr="00B363A9">
        <w:rPr>
          <w:b/>
          <w:bCs/>
          <w:sz w:val="22"/>
          <w:szCs w:val="22"/>
        </w:rPr>
        <w:t>fire</w:t>
      </w:r>
      <w:r w:rsidRPr="00B363A9">
        <w:rPr>
          <w:sz w:val="22"/>
          <w:szCs w:val="22"/>
        </w:rPr>
        <w:t xml:space="preserve">, or </w:t>
      </w:r>
      <w:r w:rsidRPr="00B363A9">
        <w:rPr>
          <w:b/>
          <w:bCs/>
          <w:sz w:val="22"/>
          <w:szCs w:val="22"/>
        </w:rPr>
        <w:t>serious injury</w:t>
      </w:r>
      <w:r w:rsidRPr="00B363A9">
        <w:rPr>
          <w:sz w:val="22"/>
          <w:szCs w:val="22"/>
        </w:rPr>
        <w:t>.</w:t>
      </w:r>
    </w:p>
    <w:p w14:paraId="30CD8E20" w14:textId="77777777" w:rsidR="00B363A9" w:rsidRPr="00B363A9" w:rsidRDefault="00B363A9" w:rsidP="00B363A9">
      <w:pPr>
        <w:rPr>
          <w:b/>
          <w:bCs/>
          <w:sz w:val="22"/>
          <w:szCs w:val="22"/>
        </w:rPr>
      </w:pPr>
      <w:r w:rsidRPr="00B363A9">
        <w:rPr>
          <w:b/>
          <w:bCs/>
          <w:sz w:val="22"/>
          <w:szCs w:val="22"/>
        </w:rPr>
        <w:t>Key Risks</w:t>
      </w:r>
    </w:p>
    <w:p w14:paraId="58D230C0" w14:textId="77777777" w:rsidR="00B363A9" w:rsidRPr="00B363A9" w:rsidRDefault="00B363A9" w:rsidP="00B363A9">
      <w:pPr>
        <w:numPr>
          <w:ilvl w:val="0"/>
          <w:numId w:val="41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Electric shock</w:t>
      </w:r>
      <w:r w:rsidRPr="00B363A9">
        <w:rPr>
          <w:sz w:val="22"/>
          <w:szCs w:val="22"/>
        </w:rPr>
        <w:t xml:space="preserve"> from damaged or live high-voltage components</w:t>
      </w:r>
    </w:p>
    <w:p w14:paraId="12A50866" w14:textId="77777777" w:rsidR="00B363A9" w:rsidRPr="00B363A9" w:rsidRDefault="00B363A9" w:rsidP="00B363A9">
      <w:pPr>
        <w:numPr>
          <w:ilvl w:val="0"/>
          <w:numId w:val="41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Arc flash</w:t>
      </w:r>
      <w:r w:rsidRPr="00B363A9">
        <w:rPr>
          <w:sz w:val="22"/>
          <w:szCs w:val="22"/>
        </w:rPr>
        <w:t xml:space="preserve">, </w:t>
      </w:r>
      <w:r w:rsidRPr="00B363A9">
        <w:rPr>
          <w:b/>
          <w:bCs/>
          <w:sz w:val="22"/>
          <w:szCs w:val="22"/>
        </w:rPr>
        <w:t>thermal runaway</w:t>
      </w:r>
      <w:r w:rsidRPr="00B363A9">
        <w:rPr>
          <w:sz w:val="22"/>
          <w:szCs w:val="22"/>
        </w:rPr>
        <w:t xml:space="preserve">, or </w:t>
      </w:r>
      <w:r w:rsidRPr="00B363A9">
        <w:rPr>
          <w:b/>
          <w:bCs/>
          <w:sz w:val="22"/>
          <w:szCs w:val="22"/>
        </w:rPr>
        <w:t>fire</w:t>
      </w:r>
      <w:r w:rsidRPr="00B363A9">
        <w:rPr>
          <w:sz w:val="22"/>
          <w:szCs w:val="22"/>
        </w:rPr>
        <w:t>, especially after impact</w:t>
      </w:r>
    </w:p>
    <w:p w14:paraId="603FF1F1" w14:textId="77777777" w:rsidR="00B363A9" w:rsidRPr="00B363A9" w:rsidRDefault="00B363A9" w:rsidP="00B363A9">
      <w:pPr>
        <w:numPr>
          <w:ilvl w:val="0"/>
          <w:numId w:val="41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Chemical exposure</w:t>
      </w:r>
      <w:r w:rsidRPr="00B363A9">
        <w:rPr>
          <w:sz w:val="22"/>
          <w:szCs w:val="22"/>
        </w:rPr>
        <w:t xml:space="preserve"> from battery leaks</w:t>
      </w:r>
    </w:p>
    <w:p w14:paraId="10318FEF" w14:textId="77777777" w:rsidR="00B363A9" w:rsidRPr="00B363A9" w:rsidRDefault="00B363A9" w:rsidP="00B363A9">
      <w:pPr>
        <w:numPr>
          <w:ilvl w:val="0"/>
          <w:numId w:val="41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Vehicle movement</w:t>
      </w:r>
      <w:r w:rsidRPr="00B363A9">
        <w:rPr>
          <w:sz w:val="22"/>
          <w:szCs w:val="22"/>
        </w:rPr>
        <w:t xml:space="preserve"> if not correctly shut down</w:t>
      </w:r>
    </w:p>
    <w:p w14:paraId="586B6E15" w14:textId="77777777" w:rsidR="00B363A9" w:rsidRPr="00B363A9" w:rsidRDefault="00B363A9" w:rsidP="00B363A9">
      <w:pPr>
        <w:numPr>
          <w:ilvl w:val="0"/>
          <w:numId w:val="41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Explosion</w:t>
      </w:r>
      <w:r w:rsidRPr="00B363A9">
        <w:rPr>
          <w:sz w:val="22"/>
          <w:szCs w:val="22"/>
        </w:rPr>
        <w:t xml:space="preserve"> risk during battery mishandling</w:t>
      </w:r>
    </w:p>
    <w:p w14:paraId="20E730C8" w14:textId="77777777" w:rsidR="00B363A9" w:rsidRPr="00B363A9" w:rsidRDefault="00B363A9" w:rsidP="00B363A9">
      <w:pPr>
        <w:rPr>
          <w:b/>
          <w:bCs/>
          <w:sz w:val="22"/>
          <w:szCs w:val="22"/>
        </w:rPr>
      </w:pPr>
      <w:r w:rsidRPr="00B363A9">
        <w:rPr>
          <w:b/>
          <w:bCs/>
          <w:sz w:val="22"/>
          <w:szCs w:val="22"/>
        </w:rPr>
        <w:t>AS 5732:2022 – Key Safety Measures</w:t>
      </w:r>
    </w:p>
    <w:p w14:paraId="60472F2A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Vehicle Identification &amp; Risk Assessment</w:t>
      </w:r>
    </w:p>
    <w:p w14:paraId="25E9352D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Identify EVs/hybrids at intake.</w:t>
      </w:r>
    </w:p>
    <w:p w14:paraId="7EA9CDCB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Conduct a risk assessment before any work begins.</w:t>
      </w:r>
    </w:p>
    <w:p w14:paraId="5348EBC4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Use vehicle-specific info from OEM or repair databases (e.g. I-CAR, Mitchell).</w:t>
      </w:r>
    </w:p>
    <w:p w14:paraId="2F89A455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Work Area Designation</w:t>
      </w:r>
    </w:p>
    <w:p w14:paraId="4E721A75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Use a </w:t>
      </w:r>
      <w:r w:rsidRPr="00B363A9">
        <w:rPr>
          <w:b/>
          <w:bCs/>
          <w:sz w:val="22"/>
          <w:szCs w:val="22"/>
        </w:rPr>
        <w:t>High Voltage (HV) Danger Zone</w:t>
      </w:r>
      <w:r w:rsidRPr="00B363A9">
        <w:rPr>
          <w:sz w:val="22"/>
          <w:szCs w:val="22"/>
        </w:rPr>
        <w:t xml:space="preserve"> – clearly marked, restricted access.</w:t>
      </w:r>
    </w:p>
    <w:p w14:paraId="62DDD63D" w14:textId="7C426009" w:rsidR="00B363A9" w:rsidRPr="00B363A9" w:rsidRDefault="00B363A9" w:rsidP="002C0C9A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Separate from standard repair bays, with signage like “High Voltage Work – Authorised Access Only”.</w:t>
      </w:r>
    </w:p>
    <w:p w14:paraId="349A2D12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Training &amp; Competency</w:t>
      </w:r>
    </w:p>
    <w:p w14:paraId="19BFD532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Only </w:t>
      </w:r>
      <w:r w:rsidRPr="00B363A9">
        <w:rPr>
          <w:b/>
          <w:bCs/>
          <w:sz w:val="22"/>
          <w:szCs w:val="22"/>
        </w:rPr>
        <w:t>qualified persons</w:t>
      </w:r>
      <w:r w:rsidRPr="00B363A9">
        <w:rPr>
          <w:sz w:val="22"/>
          <w:szCs w:val="22"/>
        </w:rPr>
        <w:t xml:space="preserve"> (as per AS 5732) should perform HV isolation or repairs.</w:t>
      </w:r>
    </w:p>
    <w:p w14:paraId="6F62A7D8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Staff must be trained in:</w:t>
      </w:r>
    </w:p>
    <w:p w14:paraId="36CDEAA7" w14:textId="77777777" w:rsidR="00B363A9" w:rsidRPr="00B363A9" w:rsidRDefault="00B363A9" w:rsidP="00B363A9">
      <w:pPr>
        <w:numPr>
          <w:ilvl w:val="2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EV system awareness</w:t>
      </w:r>
    </w:p>
    <w:p w14:paraId="14AFD2C6" w14:textId="77777777" w:rsidR="00B363A9" w:rsidRDefault="00B363A9" w:rsidP="00B363A9">
      <w:pPr>
        <w:numPr>
          <w:ilvl w:val="2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Safe disconnection procedures</w:t>
      </w:r>
    </w:p>
    <w:p w14:paraId="4229A176" w14:textId="77777777" w:rsidR="009961DC" w:rsidRDefault="009961DC" w:rsidP="009961DC">
      <w:pPr>
        <w:rPr>
          <w:sz w:val="22"/>
          <w:szCs w:val="22"/>
        </w:rPr>
      </w:pPr>
    </w:p>
    <w:p w14:paraId="4BDED835" w14:textId="77777777" w:rsidR="009961DC" w:rsidRPr="00B363A9" w:rsidRDefault="009961DC" w:rsidP="009961DC">
      <w:pPr>
        <w:rPr>
          <w:sz w:val="22"/>
          <w:szCs w:val="22"/>
        </w:rPr>
      </w:pPr>
    </w:p>
    <w:p w14:paraId="3835C20F" w14:textId="77777777" w:rsidR="00B363A9" w:rsidRPr="00B363A9" w:rsidRDefault="00B363A9" w:rsidP="00B363A9">
      <w:pPr>
        <w:numPr>
          <w:ilvl w:val="2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lastRenderedPageBreak/>
        <w:t>PPE use and emergency procedures</w:t>
      </w:r>
    </w:p>
    <w:p w14:paraId="016281E9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Safe Isolation Procedures</w:t>
      </w:r>
    </w:p>
    <w:p w14:paraId="3B1E6D8F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Follow OEM-specific </w:t>
      </w:r>
      <w:r w:rsidRPr="00B363A9">
        <w:rPr>
          <w:b/>
          <w:bCs/>
          <w:sz w:val="22"/>
          <w:szCs w:val="22"/>
        </w:rPr>
        <w:t>lockout/tagout (LOTO)</w:t>
      </w:r>
      <w:r w:rsidRPr="00B363A9">
        <w:rPr>
          <w:sz w:val="22"/>
          <w:szCs w:val="22"/>
        </w:rPr>
        <w:t xml:space="preserve"> procedures.</w:t>
      </w:r>
    </w:p>
    <w:p w14:paraId="195DDD58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Confirm </w:t>
      </w:r>
      <w:r w:rsidRPr="00B363A9">
        <w:rPr>
          <w:b/>
          <w:bCs/>
          <w:sz w:val="22"/>
          <w:szCs w:val="22"/>
        </w:rPr>
        <w:t>Zero Voltage Verification</w:t>
      </w:r>
      <w:r w:rsidRPr="00B363A9">
        <w:rPr>
          <w:sz w:val="22"/>
          <w:szCs w:val="22"/>
        </w:rPr>
        <w:t xml:space="preserve"> using approved HV test equipment.</w:t>
      </w:r>
    </w:p>
    <w:p w14:paraId="41014878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Apply </w:t>
      </w:r>
      <w:r w:rsidRPr="00B363A9">
        <w:rPr>
          <w:b/>
          <w:bCs/>
          <w:sz w:val="22"/>
          <w:szCs w:val="22"/>
        </w:rPr>
        <w:t>discharge waiting periods</w:t>
      </w:r>
      <w:r w:rsidRPr="00B363A9">
        <w:rPr>
          <w:sz w:val="22"/>
          <w:szCs w:val="22"/>
        </w:rPr>
        <w:t xml:space="preserve"> before working near high-voltage systems.</w:t>
      </w:r>
    </w:p>
    <w:p w14:paraId="6945F2B7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Personal Protective Equipment (PPE)</w:t>
      </w:r>
    </w:p>
    <w:p w14:paraId="3B7D4F7E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Insulated gloves (Class 0 or above), tested every 6 months.</w:t>
      </w:r>
    </w:p>
    <w:p w14:paraId="515F55A9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Face shield, arc-rated PPE (fire-resistant clothing).</w:t>
      </w:r>
    </w:p>
    <w:p w14:paraId="516619C6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Safety footwear with EH protection.</w:t>
      </w:r>
    </w:p>
    <w:p w14:paraId="54F7918D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Handling Battery Hazards</w:t>
      </w:r>
    </w:p>
    <w:p w14:paraId="3897B925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Do not open, pierce, or move damaged batteries unless authorised and trained.</w:t>
      </w:r>
    </w:p>
    <w:p w14:paraId="2FA6A200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Store suspect batteries in </w:t>
      </w:r>
      <w:r w:rsidRPr="00B363A9">
        <w:rPr>
          <w:b/>
          <w:bCs/>
          <w:sz w:val="22"/>
          <w:szCs w:val="22"/>
        </w:rPr>
        <w:t>quarantine zones</w:t>
      </w:r>
      <w:r w:rsidRPr="00B363A9">
        <w:rPr>
          <w:sz w:val="22"/>
          <w:szCs w:val="22"/>
        </w:rPr>
        <w:t>, in fire-resistant containers if required.</w:t>
      </w:r>
    </w:p>
    <w:p w14:paraId="26A1A082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Use non-conductive tools and follow decontamination protocols if electrolyte leaks.</w:t>
      </w:r>
    </w:p>
    <w:p w14:paraId="21977225" w14:textId="77777777" w:rsidR="00B363A9" w:rsidRPr="00B363A9" w:rsidRDefault="00B363A9" w:rsidP="00B363A9">
      <w:pPr>
        <w:numPr>
          <w:ilvl w:val="0"/>
          <w:numId w:val="42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Emergency Response</w:t>
      </w:r>
    </w:p>
    <w:p w14:paraId="4A02C3E4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Have </w:t>
      </w:r>
      <w:r w:rsidRPr="00B363A9">
        <w:rPr>
          <w:b/>
          <w:bCs/>
          <w:sz w:val="22"/>
          <w:szCs w:val="22"/>
        </w:rPr>
        <w:t>Class D or lithium-rated fire extinguishers</w:t>
      </w:r>
      <w:r w:rsidRPr="00B363A9">
        <w:rPr>
          <w:sz w:val="22"/>
          <w:szCs w:val="22"/>
        </w:rPr>
        <w:t xml:space="preserve"> available.</w:t>
      </w:r>
    </w:p>
    <w:p w14:paraId="6721E27C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Evacuate if thermal runaway or battery smoke is detected.</w:t>
      </w:r>
    </w:p>
    <w:p w14:paraId="19FA9507" w14:textId="77777777" w:rsidR="00B363A9" w:rsidRPr="00B363A9" w:rsidRDefault="00B363A9" w:rsidP="00B363A9">
      <w:pPr>
        <w:numPr>
          <w:ilvl w:val="1"/>
          <w:numId w:val="42"/>
        </w:numPr>
        <w:rPr>
          <w:sz w:val="22"/>
          <w:szCs w:val="22"/>
        </w:rPr>
      </w:pPr>
      <w:r w:rsidRPr="00B363A9">
        <w:rPr>
          <w:sz w:val="22"/>
          <w:szCs w:val="22"/>
        </w:rPr>
        <w:t>Notify emergency services and isolate the area.</w:t>
      </w:r>
    </w:p>
    <w:p w14:paraId="0B85A065" w14:textId="77777777" w:rsidR="00B363A9" w:rsidRPr="00B363A9" w:rsidRDefault="00B363A9" w:rsidP="00B363A9">
      <w:pPr>
        <w:rPr>
          <w:b/>
          <w:bCs/>
          <w:sz w:val="22"/>
          <w:szCs w:val="22"/>
        </w:rPr>
      </w:pPr>
      <w:r w:rsidRPr="00B363A9">
        <w:rPr>
          <w:b/>
          <w:bCs/>
          <w:sz w:val="22"/>
          <w:szCs w:val="22"/>
        </w:rPr>
        <w:t>Legal Responsibilities</w:t>
      </w:r>
    </w:p>
    <w:p w14:paraId="206700E2" w14:textId="77777777" w:rsidR="00B363A9" w:rsidRPr="00B363A9" w:rsidRDefault="00B363A9" w:rsidP="00B363A9">
      <w:pPr>
        <w:numPr>
          <w:ilvl w:val="0"/>
          <w:numId w:val="43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Employers/PCBUs</w:t>
      </w:r>
      <w:r w:rsidRPr="00B363A9">
        <w:rPr>
          <w:sz w:val="22"/>
          <w:szCs w:val="22"/>
        </w:rPr>
        <w:t xml:space="preserve"> must:</w:t>
      </w:r>
    </w:p>
    <w:p w14:paraId="2A99AECD" w14:textId="77777777" w:rsidR="00B363A9" w:rsidRPr="00B363A9" w:rsidRDefault="00B363A9" w:rsidP="00B363A9">
      <w:pPr>
        <w:numPr>
          <w:ilvl w:val="1"/>
          <w:numId w:val="43"/>
        </w:numPr>
        <w:rPr>
          <w:sz w:val="22"/>
          <w:szCs w:val="22"/>
        </w:rPr>
      </w:pPr>
      <w:r w:rsidRPr="00B363A9">
        <w:rPr>
          <w:sz w:val="22"/>
          <w:szCs w:val="22"/>
        </w:rPr>
        <w:t>Identify EV-specific hazards and control them under s19 of the WHS Act or s21 of the OH&amp;S Act (Vic).</w:t>
      </w:r>
    </w:p>
    <w:p w14:paraId="64D3BA00" w14:textId="77777777" w:rsidR="00B363A9" w:rsidRPr="009961DC" w:rsidRDefault="00B363A9" w:rsidP="00B363A9">
      <w:pPr>
        <w:numPr>
          <w:ilvl w:val="1"/>
          <w:numId w:val="43"/>
        </w:numPr>
        <w:rPr>
          <w:sz w:val="22"/>
          <w:szCs w:val="22"/>
        </w:rPr>
      </w:pPr>
      <w:r w:rsidRPr="00B363A9">
        <w:rPr>
          <w:sz w:val="22"/>
          <w:szCs w:val="22"/>
        </w:rPr>
        <w:t xml:space="preserve">Ensure compliance with </w:t>
      </w:r>
      <w:r w:rsidRPr="00B363A9">
        <w:rPr>
          <w:b/>
          <w:bCs/>
          <w:sz w:val="22"/>
          <w:szCs w:val="22"/>
        </w:rPr>
        <w:t>AS 5732:2022</w:t>
      </w:r>
      <w:r w:rsidRPr="00B363A9">
        <w:rPr>
          <w:sz w:val="22"/>
          <w:szCs w:val="22"/>
        </w:rPr>
        <w:t>, applicable Codes of Practice, and manufacturer procedures.</w:t>
      </w:r>
    </w:p>
    <w:p w14:paraId="29936F70" w14:textId="77777777" w:rsidR="00B363A9" w:rsidRPr="00B363A9" w:rsidRDefault="00B363A9" w:rsidP="00B363A9">
      <w:pPr>
        <w:numPr>
          <w:ilvl w:val="0"/>
          <w:numId w:val="43"/>
        </w:num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Workers</w:t>
      </w:r>
      <w:r w:rsidRPr="00B363A9">
        <w:rPr>
          <w:sz w:val="22"/>
          <w:szCs w:val="22"/>
        </w:rPr>
        <w:t xml:space="preserve"> must:</w:t>
      </w:r>
    </w:p>
    <w:p w14:paraId="1826E293" w14:textId="77777777" w:rsidR="00B363A9" w:rsidRPr="00B363A9" w:rsidRDefault="00B363A9" w:rsidP="00B363A9">
      <w:pPr>
        <w:numPr>
          <w:ilvl w:val="1"/>
          <w:numId w:val="43"/>
        </w:numPr>
        <w:rPr>
          <w:sz w:val="22"/>
          <w:szCs w:val="22"/>
        </w:rPr>
      </w:pPr>
      <w:r w:rsidRPr="00B363A9">
        <w:rPr>
          <w:sz w:val="22"/>
          <w:szCs w:val="22"/>
        </w:rPr>
        <w:t>Follow safe work procedures and only undertake EV work if trained and authorised.</w:t>
      </w:r>
    </w:p>
    <w:p w14:paraId="26CECE70" w14:textId="77777777" w:rsidR="00B363A9" w:rsidRPr="00B363A9" w:rsidRDefault="00B363A9" w:rsidP="00B363A9">
      <w:pPr>
        <w:numPr>
          <w:ilvl w:val="1"/>
          <w:numId w:val="43"/>
        </w:numPr>
        <w:rPr>
          <w:sz w:val="22"/>
          <w:szCs w:val="22"/>
        </w:rPr>
      </w:pPr>
      <w:r w:rsidRPr="00B363A9">
        <w:rPr>
          <w:sz w:val="22"/>
          <w:szCs w:val="22"/>
        </w:rPr>
        <w:t>Wear the correct PPE and report any suspected battery damage or EV-related hazard.</w:t>
      </w:r>
    </w:p>
    <w:p w14:paraId="2E9B3BF0" w14:textId="77777777" w:rsidR="00B363A9" w:rsidRPr="00B363A9" w:rsidRDefault="00B363A9" w:rsidP="00B363A9">
      <w:pPr>
        <w:rPr>
          <w:b/>
          <w:bCs/>
          <w:sz w:val="22"/>
          <w:szCs w:val="22"/>
        </w:rPr>
      </w:pPr>
      <w:r w:rsidRPr="00B363A9">
        <w:rPr>
          <w:b/>
          <w:bCs/>
          <w:sz w:val="22"/>
          <w:szCs w:val="22"/>
        </w:rPr>
        <w:t>Discussion Points</w:t>
      </w:r>
    </w:p>
    <w:p w14:paraId="14573A8F" w14:textId="77777777" w:rsidR="00B363A9" w:rsidRPr="00B363A9" w:rsidRDefault="00B363A9" w:rsidP="00B363A9">
      <w:pPr>
        <w:numPr>
          <w:ilvl w:val="0"/>
          <w:numId w:val="44"/>
        </w:numPr>
        <w:rPr>
          <w:sz w:val="22"/>
          <w:szCs w:val="22"/>
        </w:rPr>
      </w:pPr>
      <w:r w:rsidRPr="00B363A9">
        <w:rPr>
          <w:sz w:val="22"/>
          <w:szCs w:val="22"/>
        </w:rPr>
        <w:t>Are EVs and hybrid vehicles clearly identified in our workshop?</w:t>
      </w:r>
    </w:p>
    <w:p w14:paraId="716E47A7" w14:textId="77777777" w:rsidR="00B363A9" w:rsidRPr="00B363A9" w:rsidRDefault="00B363A9" w:rsidP="00B363A9">
      <w:pPr>
        <w:numPr>
          <w:ilvl w:val="0"/>
          <w:numId w:val="44"/>
        </w:numPr>
        <w:rPr>
          <w:sz w:val="22"/>
          <w:szCs w:val="22"/>
        </w:rPr>
      </w:pPr>
      <w:r w:rsidRPr="00B363A9">
        <w:rPr>
          <w:sz w:val="22"/>
          <w:szCs w:val="22"/>
        </w:rPr>
        <w:t>Do you know who is authorised to isolate EVs?</w:t>
      </w:r>
    </w:p>
    <w:p w14:paraId="2EBFCB5A" w14:textId="6D77FE3A" w:rsidR="00B363A9" w:rsidRDefault="00B363A9" w:rsidP="00B363A9">
      <w:pPr>
        <w:numPr>
          <w:ilvl w:val="0"/>
          <w:numId w:val="44"/>
        </w:numPr>
        <w:rPr>
          <w:sz w:val="22"/>
          <w:szCs w:val="22"/>
        </w:rPr>
      </w:pPr>
      <w:r w:rsidRPr="00B363A9">
        <w:rPr>
          <w:sz w:val="22"/>
          <w:szCs w:val="22"/>
        </w:rPr>
        <w:t>Have you received training aligned to AS 5732:2022</w:t>
      </w:r>
      <w:r w:rsidRPr="009961DC">
        <w:rPr>
          <w:sz w:val="22"/>
          <w:szCs w:val="22"/>
        </w:rPr>
        <w:t>?</w:t>
      </w:r>
    </w:p>
    <w:p w14:paraId="35FDDD2E" w14:textId="77777777" w:rsidR="009961DC" w:rsidRDefault="009961DC" w:rsidP="009961DC">
      <w:pPr>
        <w:rPr>
          <w:sz w:val="22"/>
          <w:szCs w:val="22"/>
        </w:rPr>
      </w:pPr>
    </w:p>
    <w:p w14:paraId="1173AF9E" w14:textId="77777777" w:rsidR="009961DC" w:rsidRPr="00B363A9" w:rsidRDefault="009961DC" w:rsidP="009961DC">
      <w:pPr>
        <w:rPr>
          <w:sz w:val="22"/>
          <w:szCs w:val="22"/>
        </w:rPr>
      </w:pPr>
    </w:p>
    <w:p w14:paraId="0EE914F0" w14:textId="2F60F806" w:rsidR="00B363A9" w:rsidRPr="00B363A9" w:rsidRDefault="00B363A9" w:rsidP="00B363A9">
      <w:pPr>
        <w:numPr>
          <w:ilvl w:val="0"/>
          <w:numId w:val="44"/>
        </w:numPr>
        <w:rPr>
          <w:sz w:val="22"/>
          <w:szCs w:val="22"/>
        </w:rPr>
      </w:pPr>
      <w:r w:rsidRPr="00B363A9">
        <w:rPr>
          <w:sz w:val="22"/>
          <w:szCs w:val="22"/>
        </w:rPr>
        <w:lastRenderedPageBreak/>
        <w:t xml:space="preserve">Do you know what to do in the event of </w:t>
      </w:r>
      <w:r w:rsidRPr="009961DC">
        <w:rPr>
          <w:sz w:val="22"/>
          <w:szCs w:val="22"/>
        </w:rPr>
        <w:t xml:space="preserve">a </w:t>
      </w:r>
      <w:r w:rsidRPr="00B363A9">
        <w:rPr>
          <w:sz w:val="22"/>
          <w:szCs w:val="22"/>
        </w:rPr>
        <w:t>battery overheating or fire?</w:t>
      </w:r>
    </w:p>
    <w:p w14:paraId="1ED4FB7A" w14:textId="5620F485" w:rsidR="00B363A9" w:rsidRPr="00B363A9" w:rsidRDefault="00B363A9" w:rsidP="00B363A9">
      <w:pPr>
        <w:rPr>
          <w:sz w:val="22"/>
          <w:szCs w:val="22"/>
        </w:rPr>
      </w:pPr>
    </w:p>
    <w:p w14:paraId="6BC04B50" w14:textId="5128A538" w:rsidR="00B363A9" w:rsidRPr="00B363A9" w:rsidRDefault="00B363A9" w:rsidP="00B363A9">
      <w:pPr>
        <w:rPr>
          <w:b/>
          <w:bCs/>
          <w:sz w:val="22"/>
          <w:szCs w:val="22"/>
        </w:rPr>
      </w:pPr>
      <w:r w:rsidRPr="009961DC">
        <w:rPr>
          <w:b/>
          <w:bCs/>
          <w:sz w:val="22"/>
          <w:szCs w:val="22"/>
        </w:rPr>
        <w:t>Conclusion</w:t>
      </w:r>
    </w:p>
    <w:p w14:paraId="4B162DA7" w14:textId="77777777" w:rsidR="00B363A9" w:rsidRPr="00B363A9" w:rsidRDefault="00B363A9" w:rsidP="00B363A9">
      <w:pPr>
        <w:rPr>
          <w:sz w:val="22"/>
          <w:szCs w:val="22"/>
        </w:rPr>
      </w:pPr>
      <w:r w:rsidRPr="00B363A9">
        <w:rPr>
          <w:b/>
          <w:bCs/>
          <w:sz w:val="22"/>
          <w:szCs w:val="22"/>
        </w:rPr>
        <w:t>Working with EVs isn’t business as usual.</w:t>
      </w:r>
      <w:r w:rsidRPr="00B363A9">
        <w:rPr>
          <w:sz w:val="22"/>
          <w:szCs w:val="22"/>
        </w:rPr>
        <w:t xml:space="preserve"> They require specialist procedures, tools, training, and controls to be handled safely. </w:t>
      </w:r>
      <w:r w:rsidRPr="00B363A9">
        <w:rPr>
          <w:b/>
          <w:bCs/>
          <w:sz w:val="22"/>
          <w:szCs w:val="22"/>
        </w:rPr>
        <w:t>Always check, isolate, and verify – or STOP and report if unsure.</w:t>
      </w:r>
    </w:p>
    <w:p w14:paraId="0D9FA083" w14:textId="6CAE58E5" w:rsidR="004B62BF" w:rsidRPr="009961DC" w:rsidRDefault="004B62BF" w:rsidP="007B7615">
      <w:pPr>
        <w:rPr>
          <w:sz w:val="22"/>
          <w:szCs w:val="22"/>
        </w:rPr>
      </w:pPr>
    </w:p>
    <w:sectPr w:rsidR="004B62BF" w:rsidRPr="009961DC" w:rsidSect="004A3BA5">
      <w:headerReference w:type="default" r:id="rId11"/>
      <w:footerReference w:type="default" r:id="rId12"/>
      <w:pgSz w:w="11906" w:h="16838" w:code="9"/>
      <w:pgMar w:top="720" w:right="720" w:bottom="720" w:left="720" w:header="709" w:footer="397" w:gutter="0"/>
      <w:paperSrc w:first="293" w:other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3732" w14:textId="77777777" w:rsidR="008D4F0E" w:rsidRDefault="008D4F0E" w:rsidP="001F7B32">
      <w:pPr>
        <w:spacing w:after="0" w:line="240" w:lineRule="auto"/>
      </w:pPr>
      <w:r>
        <w:separator/>
      </w:r>
    </w:p>
    <w:p w14:paraId="32503B1A" w14:textId="77777777" w:rsidR="008D4F0E" w:rsidRDefault="008D4F0E"/>
    <w:p w14:paraId="4AF8284A" w14:textId="77777777" w:rsidR="008D4F0E" w:rsidRDefault="008D4F0E"/>
  </w:endnote>
  <w:endnote w:type="continuationSeparator" w:id="0">
    <w:p w14:paraId="6C52B1EF" w14:textId="77777777" w:rsidR="008D4F0E" w:rsidRDefault="008D4F0E" w:rsidP="001F7B32">
      <w:pPr>
        <w:spacing w:after="0" w:line="240" w:lineRule="auto"/>
      </w:pPr>
      <w:r>
        <w:continuationSeparator/>
      </w:r>
    </w:p>
    <w:p w14:paraId="3B811ACE" w14:textId="77777777" w:rsidR="008D4F0E" w:rsidRDefault="008D4F0E"/>
    <w:p w14:paraId="62EE29C6" w14:textId="77777777" w:rsidR="008D4F0E" w:rsidRDefault="008D4F0E"/>
  </w:endnote>
  <w:endnote w:type="continuationNotice" w:id="1">
    <w:p w14:paraId="651BD104" w14:textId="77777777" w:rsidR="008D4F0E" w:rsidRDefault="008D4F0E">
      <w:pPr>
        <w:spacing w:after="0" w:line="240" w:lineRule="auto"/>
      </w:pPr>
    </w:p>
    <w:p w14:paraId="772E768B" w14:textId="77777777" w:rsidR="008D4F0E" w:rsidRDefault="008D4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41CD" w14:textId="2DEBE8DC" w:rsidR="001F7B32" w:rsidRPr="00823414" w:rsidRDefault="001F7B32" w:rsidP="006F7C0B">
    <w:pPr>
      <w:pStyle w:val="Footer"/>
      <w:tabs>
        <w:tab w:val="left" w:pos="9781"/>
      </w:tabs>
      <w:rPr>
        <w:rFonts w:ascii="Arial" w:hAnsi="Arial" w:cs="Arial"/>
        <w:b/>
        <w:bCs/>
        <w:color w:val="FFFFFF" w:themeColor="background1"/>
        <w:sz w:val="10"/>
        <w:szCs w:val="10"/>
      </w:rPr>
    </w:pP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center" w:leader="none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right" w:leader="none"/>
    </w:r>
    <w:r w:rsidR="004F73DC"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 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Page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1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of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2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BA79" w14:textId="77777777" w:rsidR="008D4F0E" w:rsidRDefault="008D4F0E" w:rsidP="001F7B32">
      <w:pPr>
        <w:spacing w:after="0" w:line="240" w:lineRule="auto"/>
      </w:pPr>
      <w:r>
        <w:separator/>
      </w:r>
    </w:p>
    <w:p w14:paraId="28CD6650" w14:textId="77777777" w:rsidR="008D4F0E" w:rsidRDefault="008D4F0E"/>
    <w:p w14:paraId="6ADAC0EF" w14:textId="77777777" w:rsidR="008D4F0E" w:rsidRDefault="008D4F0E"/>
  </w:footnote>
  <w:footnote w:type="continuationSeparator" w:id="0">
    <w:p w14:paraId="5E0345E0" w14:textId="77777777" w:rsidR="008D4F0E" w:rsidRDefault="008D4F0E" w:rsidP="001F7B32">
      <w:pPr>
        <w:spacing w:after="0" w:line="240" w:lineRule="auto"/>
      </w:pPr>
      <w:r>
        <w:continuationSeparator/>
      </w:r>
    </w:p>
    <w:p w14:paraId="3E9C8A87" w14:textId="77777777" w:rsidR="008D4F0E" w:rsidRDefault="008D4F0E"/>
    <w:p w14:paraId="167B22F4" w14:textId="77777777" w:rsidR="008D4F0E" w:rsidRDefault="008D4F0E"/>
  </w:footnote>
  <w:footnote w:type="continuationNotice" w:id="1">
    <w:p w14:paraId="3B8B7767" w14:textId="77777777" w:rsidR="008D4F0E" w:rsidRDefault="008D4F0E">
      <w:pPr>
        <w:spacing w:after="0" w:line="240" w:lineRule="auto"/>
      </w:pPr>
    </w:p>
    <w:p w14:paraId="70708813" w14:textId="77777777" w:rsidR="008D4F0E" w:rsidRDefault="008D4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648A" w14:textId="70A7213E" w:rsidR="001F7B32" w:rsidRDefault="001369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C4D15" wp14:editId="0076A3E3">
              <wp:simplePos x="0" y="0"/>
              <wp:positionH relativeFrom="page">
                <wp:posOffset>0</wp:posOffset>
              </wp:positionH>
              <wp:positionV relativeFrom="paragraph">
                <wp:posOffset>-87791</wp:posOffset>
              </wp:positionV>
              <wp:extent cx="7560000" cy="457200"/>
              <wp:effectExtent l="0" t="0" r="0" b="0"/>
              <wp:wrapNone/>
              <wp:docPr id="53749985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6D313" w14:textId="2F749B9E" w:rsidR="004A2A0B" w:rsidRPr="00BD2AE3" w:rsidRDefault="00D551AD" w:rsidP="00683760">
                          <w:pPr>
                            <w:pStyle w:val="RMEHeadi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Risk – Motorised Carts</w:t>
                          </w:r>
                        </w:p>
                        <w:p w14:paraId="76A435D3" w14:textId="4ECC597B" w:rsidR="004A2A0B" w:rsidRPr="004A2A0B" w:rsidRDefault="00790649" w:rsidP="00683760">
                          <w:pPr>
                            <w:pStyle w:val="RMEHeading"/>
                          </w:pPr>
                          <w:r w:rsidRPr="00790649">
                            <w:t>© Risk Management Essentials Pty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C4D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9pt;width:595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" filled="f" stroked="f" strokeweight=".5pt">
              <v:textbox>
                <w:txbxContent>
                  <w:p w14:paraId="1E76D313" w14:textId="2F749B9E" w:rsidR="004A2A0B" w:rsidRPr="00BD2AE3" w:rsidRDefault="00D551AD" w:rsidP="00683760">
                    <w:pPr>
                      <w:pStyle w:val="RMEHead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Risk – Motorised Carts</w:t>
                    </w:r>
                  </w:p>
                  <w:p w14:paraId="76A435D3" w14:textId="4ECC597B" w:rsidR="004A2A0B" w:rsidRPr="004A2A0B" w:rsidRDefault="00790649" w:rsidP="00683760">
                    <w:pPr>
                      <w:pStyle w:val="RMEHeading"/>
                    </w:pPr>
                    <w:r w:rsidRPr="00790649">
                      <w:t>© Risk Management Essentials Pty Ltd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1290C">
      <w:rPr>
        <w:noProof/>
      </w:rPr>
      <w:drawing>
        <wp:anchor distT="0" distB="0" distL="114300" distR="114300" simplePos="0" relativeHeight="251659264" behindDoc="1" locked="1" layoutInCell="1" allowOverlap="1" wp14:anchorId="56B33AB0" wp14:editId="270D4D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2842"/>
          <wp:effectExtent l="0" t="0" r="5080" b="1905"/>
          <wp:wrapNone/>
          <wp:docPr id="2117084862" name="Picture 2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84862" name="Picture 2" descr="A white background with black do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ACCEB" w14:textId="7CF61F54" w:rsidR="00E61D17" w:rsidRDefault="00823414" w:rsidP="00823414">
    <w:pPr>
      <w:tabs>
        <w:tab w:val="left" w:pos="6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3D3"/>
    <w:multiLevelType w:val="multilevel"/>
    <w:tmpl w:val="134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722"/>
    <w:multiLevelType w:val="multilevel"/>
    <w:tmpl w:val="E0B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91EC8"/>
    <w:multiLevelType w:val="multilevel"/>
    <w:tmpl w:val="493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97"/>
    <w:multiLevelType w:val="multilevel"/>
    <w:tmpl w:val="CC00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76C53"/>
    <w:multiLevelType w:val="multilevel"/>
    <w:tmpl w:val="F3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45F79"/>
    <w:multiLevelType w:val="multilevel"/>
    <w:tmpl w:val="F0A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85643"/>
    <w:multiLevelType w:val="hybridMultilevel"/>
    <w:tmpl w:val="02F48EE6"/>
    <w:lvl w:ilvl="0" w:tplc="89F02468">
      <w:start w:val="1"/>
      <w:numFmt w:val="bullet"/>
      <w:pStyle w:val="RMEBodyBulletStyle"/>
      <w:lvlText w:val=""/>
      <w:lvlJc w:val="left"/>
      <w:pPr>
        <w:ind w:left="720" w:hanging="360"/>
      </w:pPr>
      <w:rPr>
        <w:rFonts w:ascii="Symbol" w:hAnsi="Symbol" w:hint="default"/>
        <w:color w:val="23A0A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21F73"/>
    <w:multiLevelType w:val="multilevel"/>
    <w:tmpl w:val="7A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74C91"/>
    <w:multiLevelType w:val="multilevel"/>
    <w:tmpl w:val="52B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B7777"/>
    <w:multiLevelType w:val="multilevel"/>
    <w:tmpl w:val="B8C8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8552A"/>
    <w:multiLevelType w:val="multilevel"/>
    <w:tmpl w:val="F1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04698"/>
    <w:multiLevelType w:val="multilevel"/>
    <w:tmpl w:val="0EB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43322"/>
    <w:multiLevelType w:val="multilevel"/>
    <w:tmpl w:val="AA6E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A0A5D"/>
    <w:multiLevelType w:val="multilevel"/>
    <w:tmpl w:val="8BF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D4F22"/>
    <w:multiLevelType w:val="multilevel"/>
    <w:tmpl w:val="24E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935BF4"/>
    <w:multiLevelType w:val="multilevel"/>
    <w:tmpl w:val="D01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F26CE"/>
    <w:multiLevelType w:val="multilevel"/>
    <w:tmpl w:val="DF9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E2C17"/>
    <w:multiLevelType w:val="multilevel"/>
    <w:tmpl w:val="45B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AB7FAB"/>
    <w:multiLevelType w:val="multilevel"/>
    <w:tmpl w:val="41A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F49C0"/>
    <w:multiLevelType w:val="multilevel"/>
    <w:tmpl w:val="029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A3798A"/>
    <w:multiLevelType w:val="multilevel"/>
    <w:tmpl w:val="D6F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551B2"/>
    <w:multiLevelType w:val="multilevel"/>
    <w:tmpl w:val="A6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2D7BDB"/>
    <w:multiLevelType w:val="multilevel"/>
    <w:tmpl w:val="82A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214D53"/>
    <w:multiLevelType w:val="multilevel"/>
    <w:tmpl w:val="7B5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A541F5"/>
    <w:multiLevelType w:val="multilevel"/>
    <w:tmpl w:val="1102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5D4993"/>
    <w:multiLevelType w:val="multilevel"/>
    <w:tmpl w:val="B2CE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93D49"/>
    <w:multiLevelType w:val="multilevel"/>
    <w:tmpl w:val="930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1B681D"/>
    <w:multiLevelType w:val="multilevel"/>
    <w:tmpl w:val="ED7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A233A7"/>
    <w:multiLevelType w:val="multilevel"/>
    <w:tmpl w:val="91C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B048E4"/>
    <w:multiLevelType w:val="multilevel"/>
    <w:tmpl w:val="315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B553CE"/>
    <w:multiLevelType w:val="hybridMultilevel"/>
    <w:tmpl w:val="5C520DFA"/>
    <w:lvl w:ilvl="0" w:tplc="E2E8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D2435"/>
    <w:multiLevelType w:val="multilevel"/>
    <w:tmpl w:val="815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5B42BA"/>
    <w:multiLevelType w:val="multilevel"/>
    <w:tmpl w:val="21D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49BF"/>
    <w:multiLevelType w:val="multilevel"/>
    <w:tmpl w:val="F51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07CE4"/>
    <w:multiLevelType w:val="multilevel"/>
    <w:tmpl w:val="37F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4531DA"/>
    <w:multiLevelType w:val="multilevel"/>
    <w:tmpl w:val="76C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977D7"/>
    <w:multiLevelType w:val="multilevel"/>
    <w:tmpl w:val="6D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729A4"/>
    <w:multiLevelType w:val="multilevel"/>
    <w:tmpl w:val="88C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422B0"/>
    <w:multiLevelType w:val="multilevel"/>
    <w:tmpl w:val="DEB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6D4826"/>
    <w:multiLevelType w:val="multilevel"/>
    <w:tmpl w:val="5DC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06901"/>
    <w:multiLevelType w:val="multilevel"/>
    <w:tmpl w:val="56D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579E9"/>
    <w:multiLevelType w:val="multilevel"/>
    <w:tmpl w:val="7B3E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52821"/>
    <w:multiLevelType w:val="multilevel"/>
    <w:tmpl w:val="873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D6444"/>
    <w:multiLevelType w:val="multilevel"/>
    <w:tmpl w:val="802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666465">
    <w:abstractNumId w:val="16"/>
  </w:num>
  <w:num w:numId="2" w16cid:durableId="1203791183">
    <w:abstractNumId w:val="30"/>
  </w:num>
  <w:num w:numId="3" w16cid:durableId="444229169">
    <w:abstractNumId w:val="6"/>
  </w:num>
  <w:num w:numId="4" w16cid:durableId="859582539">
    <w:abstractNumId w:val="25"/>
  </w:num>
  <w:num w:numId="5" w16cid:durableId="152139108">
    <w:abstractNumId w:val="38"/>
  </w:num>
  <w:num w:numId="6" w16cid:durableId="581991882">
    <w:abstractNumId w:val="13"/>
  </w:num>
  <w:num w:numId="7" w16cid:durableId="152647830">
    <w:abstractNumId w:val="4"/>
  </w:num>
  <w:num w:numId="8" w16cid:durableId="1271746207">
    <w:abstractNumId w:val="10"/>
  </w:num>
  <w:num w:numId="9" w16cid:durableId="171846151">
    <w:abstractNumId w:val="0"/>
  </w:num>
  <w:num w:numId="10" w16cid:durableId="669866983">
    <w:abstractNumId w:val="1"/>
  </w:num>
  <w:num w:numId="11" w16cid:durableId="1462920844">
    <w:abstractNumId w:val="42"/>
  </w:num>
  <w:num w:numId="12" w16cid:durableId="450168168">
    <w:abstractNumId w:val="31"/>
  </w:num>
  <w:num w:numId="13" w16cid:durableId="1821576136">
    <w:abstractNumId w:val="2"/>
  </w:num>
  <w:num w:numId="14" w16cid:durableId="605309003">
    <w:abstractNumId w:val="15"/>
  </w:num>
  <w:num w:numId="15" w16cid:durableId="2032369561">
    <w:abstractNumId w:val="21"/>
  </w:num>
  <w:num w:numId="16" w16cid:durableId="1219048412">
    <w:abstractNumId w:val="36"/>
  </w:num>
  <w:num w:numId="17" w16cid:durableId="1562712148">
    <w:abstractNumId w:val="29"/>
  </w:num>
  <w:num w:numId="18" w16cid:durableId="1890679159">
    <w:abstractNumId w:val="7"/>
  </w:num>
  <w:num w:numId="19" w16cid:durableId="1657608114">
    <w:abstractNumId w:val="14"/>
  </w:num>
  <w:num w:numId="20" w16cid:durableId="1908110378">
    <w:abstractNumId w:val="23"/>
  </w:num>
  <w:num w:numId="21" w16cid:durableId="1159156595">
    <w:abstractNumId w:val="24"/>
  </w:num>
  <w:num w:numId="22" w16cid:durableId="1870530695">
    <w:abstractNumId w:val="27"/>
  </w:num>
  <w:num w:numId="23" w16cid:durableId="522129884">
    <w:abstractNumId w:val="32"/>
  </w:num>
  <w:num w:numId="24" w16cid:durableId="2132285815">
    <w:abstractNumId w:val="28"/>
  </w:num>
  <w:num w:numId="25" w16cid:durableId="1476489607">
    <w:abstractNumId w:val="18"/>
  </w:num>
  <w:num w:numId="26" w16cid:durableId="909998438">
    <w:abstractNumId w:val="11"/>
  </w:num>
  <w:num w:numId="27" w16cid:durableId="147981156">
    <w:abstractNumId w:val="17"/>
  </w:num>
  <w:num w:numId="28" w16cid:durableId="474218868">
    <w:abstractNumId w:val="19"/>
  </w:num>
  <w:num w:numId="29" w16cid:durableId="727611075">
    <w:abstractNumId w:val="43"/>
  </w:num>
  <w:num w:numId="30" w16cid:durableId="1674796755">
    <w:abstractNumId w:val="37"/>
  </w:num>
  <w:num w:numId="31" w16cid:durableId="2065448994">
    <w:abstractNumId w:val="8"/>
  </w:num>
  <w:num w:numId="32" w16cid:durableId="1984849555">
    <w:abstractNumId w:val="9"/>
  </w:num>
  <w:num w:numId="33" w16cid:durableId="1428039119">
    <w:abstractNumId w:val="41"/>
  </w:num>
  <w:num w:numId="34" w16cid:durableId="1793405048">
    <w:abstractNumId w:val="22"/>
  </w:num>
  <w:num w:numId="35" w16cid:durableId="896823442">
    <w:abstractNumId w:val="5"/>
  </w:num>
  <w:num w:numId="36" w16cid:durableId="34352404">
    <w:abstractNumId w:val="39"/>
  </w:num>
  <w:num w:numId="37" w16cid:durableId="379745309">
    <w:abstractNumId w:val="3"/>
  </w:num>
  <w:num w:numId="38" w16cid:durableId="654645988">
    <w:abstractNumId w:val="26"/>
  </w:num>
  <w:num w:numId="39" w16cid:durableId="882013338">
    <w:abstractNumId w:val="33"/>
  </w:num>
  <w:num w:numId="40" w16cid:durableId="1241057351">
    <w:abstractNumId w:val="34"/>
  </w:num>
  <w:num w:numId="41" w16cid:durableId="500706931">
    <w:abstractNumId w:val="20"/>
  </w:num>
  <w:num w:numId="42" w16cid:durableId="1828476586">
    <w:abstractNumId w:val="12"/>
  </w:num>
  <w:num w:numId="43" w16cid:durableId="1921938361">
    <w:abstractNumId w:val="40"/>
  </w:num>
  <w:num w:numId="44" w16cid:durableId="15200742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2"/>
    <w:rsid w:val="00033792"/>
    <w:rsid w:val="000B2061"/>
    <w:rsid w:val="001369C1"/>
    <w:rsid w:val="001630C7"/>
    <w:rsid w:val="00170EB2"/>
    <w:rsid w:val="00184160"/>
    <w:rsid w:val="0019045E"/>
    <w:rsid w:val="00191088"/>
    <w:rsid w:val="001F7B32"/>
    <w:rsid w:val="00241891"/>
    <w:rsid w:val="00287DB8"/>
    <w:rsid w:val="002A2F27"/>
    <w:rsid w:val="002E16E4"/>
    <w:rsid w:val="0031485A"/>
    <w:rsid w:val="003429F9"/>
    <w:rsid w:val="00390D8B"/>
    <w:rsid w:val="003F59EF"/>
    <w:rsid w:val="0041617E"/>
    <w:rsid w:val="004A2A0B"/>
    <w:rsid w:val="004A3BA5"/>
    <w:rsid w:val="004B3FC9"/>
    <w:rsid w:val="004B62BF"/>
    <w:rsid w:val="004F73DC"/>
    <w:rsid w:val="00502975"/>
    <w:rsid w:val="0055773B"/>
    <w:rsid w:val="005E20BD"/>
    <w:rsid w:val="005E5E80"/>
    <w:rsid w:val="005E6480"/>
    <w:rsid w:val="006447C1"/>
    <w:rsid w:val="00683760"/>
    <w:rsid w:val="006A357A"/>
    <w:rsid w:val="006F301E"/>
    <w:rsid w:val="006F7C0B"/>
    <w:rsid w:val="00700C1C"/>
    <w:rsid w:val="007148E5"/>
    <w:rsid w:val="00746B40"/>
    <w:rsid w:val="00747900"/>
    <w:rsid w:val="00787D3C"/>
    <w:rsid w:val="00790649"/>
    <w:rsid w:val="007B7615"/>
    <w:rsid w:val="007C7234"/>
    <w:rsid w:val="00812131"/>
    <w:rsid w:val="00823414"/>
    <w:rsid w:val="00835765"/>
    <w:rsid w:val="00865C23"/>
    <w:rsid w:val="008D43AD"/>
    <w:rsid w:val="008D4F0E"/>
    <w:rsid w:val="008F46AD"/>
    <w:rsid w:val="0091290C"/>
    <w:rsid w:val="00915A54"/>
    <w:rsid w:val="00950CD1"/>
    <w:rsid w:val="009961DC"/>
    <w:rsid w:val="009A3918"/>
    <w:rsid w:val="009D1B1F"/>
    <w:rsid w:val="00A42B16"/>
    <w:rsid w:val="00A543DF"/>
    <w:rsid w:val="00B341AA"/>
    <w:rsid w:val="00B363A9"/>
    <w:rsid w:val="00B53C4F"/>
    <w:rsid w:val="00B8784E"/>
    <w:rsid w:val="00BA4FC7"/>
    <w:rsid w:val="00BB2E59"/>
    <w:rsid w:val="00BD2AE3"/>
    <w:rsid w:val="00BE11B3"/>
    <w:rsid w:val="00BE4BE8"/>
    <w:rsid w:val="00BE58F1"/>
    <w:rsid w:val="00BE7C35"/>
    <w:rsid w:val="00C711A7"/>
    <w:rsid w:val="00CA70F3"/>
    <w:rsid w:val="00D10486"/>
    <w:rsid w:val="00D12DFA"/>
    <w:rsid w:val="00D26C0F"/>
    <w:rsid w:val="00D4240E"/>
    <w:rsid w:val="00D551AD"/>
    <w:rsid w:val="00DC61E6"/>
    <w:rsid w:val="00DC74F9"/>
    <w:rsid w:val="00E54FA0"/>
    <w:rsid w:val="00E61D17"/>
    <w:rsid w:val="00E747D1"/>
    <w:rsid w:val="00E755E2"/>
    <w:rsid w:val="00EA0AE1"/>
    <w:rsid w:val="00ED6BCF"/>
    <w:rsid w:val="00EE5CEE"/>
    <w:rsid w:val="00EF73FA"/>
    <w:rsid w:val="00F10545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1B9B9"/>
  <w15:chartTrackingRefBased/>
  <w15:docId w15:val="{F154F0E2-B308-4539-8B0A-5A53A30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C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B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32"/>
  </w:style>
  <w:style w:type="paragraph" w:styleId="Footer">
    <w:name w:val="footer"/>
    <w:basedOn w:val="Normal"/>
    <w:link w:val="Foot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32"/>
  </w:style>
  <w:style w:type="paragraph" w:styleId="NoSpacing">
    <w:name w:val="No Spacing"/>
    <w:basedOn w:val="Normal"/>
    <w:link w:val="NoSpacingChar"/>
    <w:uiPriority w:val="1"/>
    <w:qFormat/>
    <w:rsid w:val="00700C1C"/>
    <w:pPr>
      <w:spacing w:before="284" w:after="240" w:line="276" w:lineRule="auto"/>
    </w:pPr>
    <w:rPr>
      <w:rFonts w:ascii="Arial" w:hAnsi="Arial" w:cs="Arial"/>
      <w:sz w:val="20"/>
      <w:szCs w:val="20"/>
    </w:rPr>
  </w:style>
  <w:style w:type="paragraph" w:customStyle="1" w:styleId="RMEBodyBulletStyle">
    <w:name w:val="RME Body Bullet Style"/>
    <w:basedOn w:val="NoSpacing"/>
    <w:link w:val="RMEBodyBulletStyleChar"/>
    <w:qFormat/>
    <w:rsid w:val="0055773B"/>
    <w:pPr>
      <w:numPr>
        <w:numId w:val="3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5773B"/>
    <w:rPr>
      <w:rFonts w:ascii="Arial" w:hAnsi="Arial" w:cs="Arial"/>
      <w:sz w:val="20"/>
      <w:szCs w:val="20"/>
    </w:rPr>
  </w:style>
  <w:style w:type="character" w:customStyle="1" w:styleId="RMEBodyBulletStyleChar">
    <w:name w:val="RME Body Bullet Style Char"/>
    <w:basedOn w:val="NoSpacingChar"/>
    <w:link w:val="RMEBodyBulletStyle"/>
    <w:rsid w:val="0055773B"/>
    <w:rPr>
      <w:rFonts w:ascii="Arial" w:hAnsi="Arial" w:cs="Arial"/>
      <w:sz w:val="20"/>
      <w:szCs w:val="20"/>
    </w:rPr>
  </w:style>
  <w:style w:type="paragraph" w:customStyle="1" w:styleId="RMEBodyStyle">
    <w:name w:val="RME Body Style"/>
    <w:basedOn w:val="NoSpacing"/>
    <w:link w:val="RMEBodyStyleChar"/>
    <w:qFormat/>
    <w:rsid w:val="00683760"/>
    <w:pPr>
      <w:spacing w:after="0"/>
    </w:pPr>
  </w:style>
  <w:style w:type="character" w:customStyle="1" w:styleId="RMEBodyStyleChar">
    <w:name w:val="RME Body Style Char"/>
    <w:basedOn w:val="NoSpacingChar"/>
    <w:link w:val="RMEBodyStyle"/>
    <w:rsid w:val="00683760"/>
    <w:rPr>
      <w:rFonts w:ascii="Arial" w:hAnsi="Arial" w:cs="Arial"/>
      <w:sz w:val="20"/>
      <w:szCs w:val="20"/>
    </w:rPr>
  </w:style>
  <w:style w:type="paragraph" w:customStyle="1" w:styleId="RMEHeading">
    <w:name w:val="RME Heading"/>
    <w:basedOn w:val="Normal"/>
    <w:link w:val="RMEHeadingChar"/>
    <w:qFormat/>
    <w:rsid w:val="00683760"/>
    <w:pPr>
      <w:spacing w:after="0"/>
      <w:jc w:val="center"/>
    </w:pPr>
    <w:rPr>
      <w:rFonts w:ascii="Arial" w:hAnsi="Arial" w:cs="Arial"/>
      <w:color w:val="23A0AF"/>
      <w:sz w:val="16"/>
      <w:szCs w:val="16"/>
      <w:lang w:val="en-US"/>
    </w:rPr>
  </w:style>
  <w:style w:type="character" w:customStyle="1" w:styleId="RMEHeadingChar">
    <w:name w:val="RME Heading Char"/>
    <w:basedOn w:val="DefaultParagraphFont"/>
    <w:link w:val="RMEHeading"/>
    <w:rsid w:val="00683760"/>
    <w:rPr>
      <w:rFonts w:ascii="Arial" w:hAnsi="Arial" w:cs="Arial"/>
      <w:color w:val="23A0A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9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7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4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3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3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DA8CF449594BA6FA1B9EC02DE62A" ma:contentTypeVersion="19" ma:contentTypeDescription="Create a new document." ma:contentTypeScope="" ma:versionID="e0e241cd2b761896991f5bba4532233b">
  <xsd:schema xmlns:xsd="http://www.w3.org/2001/XMLSchema" xmlns:xs="http://www.w3.org/2001/XMLSchema" xmlns:p="http://schemas.microsoft.com/office/2006/metadata/properties" xmlns:ns2="39ea65e3-1a94-4ef3-96f0-a7f709e9759f" xmlns:ns3="d5d07231-9df0-4f14-8612-4fec51ef556d" targetNamespace="http://schemas.microsoft.com/office/2006/metadata/properties" ma:root="true" ma:fieldsID="060bd84667966a16067d8c94c5901fcb" ns2:_="" ns3:_="">
    <xsd:import namespace="39ea65e3-1a94-4ef3-96f0-a7f709e9759f"/>
    <xsd:import namespace="d5d07231-9df0-4f14-8612-4fec51ef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65e3-1a94-4ef3-96f0-a7f709e97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3496b-f37a-4084-99a8-023a19973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7231-9df0-4f14-8612-4fec51ef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6c69a1-0b9b-4420-aa93-2c023dd19c64}" ma:internalName="TaxCatchAll" ma:showField="CatchAllData" ma:web="d5d07231-9df0-4f14-8612-4fec51ef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07231-9df0-4f14-8612-4fec51ef556d" xsi:nil="true"/>
    <lcf76f155ced4ddcb4097134ff3c332f xmlns="39ea65e3-1a94-4ef3-96f0-a7f709e975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6C28A-F876-444A-AA90-9DE790818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FF25F-C145-480C-9149-D7E473591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C7696-0FCB-4560-9D0F-E0530D9CF28C}"/>
</file>

<file path=customXml/itemProps4.xml><?xml version="1.0" encoding="utf-8"?>
<ds:datastoreItem xmlns:ds="http://schemas.openxmlformats.org/officeDocument/2006/customXml" ds:itemID="{B443B5EF-3969-4CC6-AD46-AF134A910C8A}">
  <ds:schemaRefs>
    <ds:schemaRef ds:uri="http://schemas.microsoft.com/office/2006/metadata/properties"/>
    <ds:schemaRef ds:uri="http://schemas.microsoft.com/office/infopath/2007/PartnerControls"/>
    <ds:schemaRef ds:uri="d5d07231-9df0-4f14-8612-4fec51ef556d"/>
    <ds:schemaRef ds:uri="39ea65e3-1a94-4ef3-96f0-a7f709e975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2887</Characters>
  <Application>Microsoft Office Word</Application>
  <DocSecurity>0</DocSecurity>
  <Lines>69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Quilici</dc:creator>
  <cp:keywords/>
  <dc:description/>
  <cp:lastModifiedBy>Dianne Rawlings</cp:lastModifiedBy>
  <cp:revision>3</cp:revision>
  <cp:lastPrinted>2024-10-01T06:35:00Z</cp:lastPrinted>
  <dcterms:created xsi:type="dcterms:W3CDTF">2025-04-14T04:31:00Z</dcterms:created>
  <dcterms:modified xsi:type="dcterms:W3CDTF">2025-04-14T04:34:00Z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0x010100430FDA8CF449594BA6FA1B9EC02DE62A</vt:lpwstr>
  </property>
  <property fmtid="{D5CDD505-2E9C-101B-9397-08002B2CF9AE}" pid="3" name="MediaServiceImageTags">
    <vt:lpwstr/>
  </property>
</Properties>
</file>